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3bis</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R2-210</w:t>
      </w:r>
      <w:r w:rsidR="00235650">
        <w:rPr>
          <w:rFonts w:ascii="Arial" w:eastAsia="宋体" w:hAnsi="Arial" w:cs="Arial"/>
          <w:b/>
          <w:bCs/>
          <w:sz w:val="24"/>
          <w:lang w:eastAsia="zh-CN"/>
        </w:rPr>
        <w:t>2817</w:t>
      </w:r>
    </w:p>
    <w:bookmarkEnd w:id="0"/>
    <w:bookmarkEnd w:id="1"/>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12th April - 20th</w:t>
      </w:r>
      <w:r>
        <w:rPr>
          <w:rFonts w:ascii="Arial" w:eastAsia="宋体" w:hAnsi="Arial" w:cs="Arial" w:hint="eastAsia"/>
          <w:b/>
          <w:bCs/>
          <w:sz w:val="24"/>
        </w:rPr>
        <w:t xml:space="preserve"> </w:t>
      </w:r>
      <w:r>
        <w:rPr>
          <w:rFonts w:ascii="Arial" w:eastAsia="宋体" w:hAnsi="Arial" w:cs="Arial"/>
          <w:b/>
          <w:bCs/>
          <w:sz w:val="24"/>
          <w:lang w:eastAsia="zh-CN"/>
        </w:rPr>
        <w:t xml:space="preserve">April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p>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rsidR="00067C65" w:rsidRDefault="00067C65">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t>SL DRX for Groupcast and Broadcast</w:t>
      </w:r>
    </w:p>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8.15.2</w:t>
      </w:r>
    </w:p>
    <w:p w:rsidR="00067C65" w:rsidRDefault="00067C65">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rsidR="00067C65" w:rsidRDefault="00067C6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rsidR="00067C65" w:rsidRDefault="00067C65">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last RAN2 meeting, SL DRX configuration had been discussed and achieved the following agreements:</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Agreements on SL DRX configurations</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For broadcast/groupcast, for out-of-coverage case, TX-UE/RX-UE obtain DRX configuration from pre-configuration.</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2:</w:t>
      </w:r>
      <w:r>
        <w:tab/>
        <w:t>For broadcast/groupcast, for in-coverage case, RRC_IDLE/INACTIVE TX-UE/RX-UE obtain DRX configuration from SIB. It is up to network implementation how to coordinate active time between different cells.</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3:</w:t>
      </w:r>
      <w:r>
        <w:tab/>
        <w:t>For broadcast/groupcast, for in-coverage case, for RRC_CONNECTED TX-UE/RX-UE can obtain DRX configuration from SIB. FFS on whether dedicated-RRC is also used.</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For unicast, for OOC scenario, the UE who sends out the DRX configuration decides on the DRX configuration. FFS on whether pre-configuration and/or the assistance information from the peer UE is also </w:t>
      </w:r>
      <w:proofErr w:type="gramStart"/>
      <w:r>
        <w:t>taken into account</w:t>
      </w:r>
      <w:proofErr w:type="gramEnd"/>
      <w:r>
        <w:t xml:space="preserve"> when determining the DRX configuration.</w:t>
      </w:r>
    </w:p>
    <w:p w:rsidR="00067C65" w:rsidRDefault="00067C65">
      <w:pPr>
        <w:pBdr>
          <w:top w:val="single" w:sz="4" w:space="1" w:color="auto"/>
          <w:left w:val="single" w:sz="4" w:space="4" w:color="auto"/>
          <w:bottom w:val="single" w:sz="4" w:space="1" w:color="auto"/>
          <w:right w:val="single" w:sz="4" w:space="4" w:color="auto"/>
        </w:pBdr>
        <w:tabs>
          <w:tab w:val="left" w:pos="1622"/>
        </w:tabs>
        <w:ind w:left="1622" w:hanging="363"/>
      </w:pPr>
      <w:r>
        <w:t xml:space="preserve">5: </w:t>
      </w:r>
      <w:r>
        <w:tab/>
        <w:t>For unicast, for OOC scenario, adopt per-direction DRX configuration is as baseline. FFS on whether it is TX-centric or Rx-centric, i.e. TX UE or RX UE decides it.</w:t>
      </w:r>
    </w:p>
    <w:p w:rsidR="00067C65" w:rsidRDefault="00067C65">
      <w:pPr>
        <w:jc w:val="both"/>
        <w:rPr>
          <w:rFonts w:eastAsia="宋体"/>
          <w:lang w:eastAsia="zh-CN"/>
        </w:rPr>
      </w:pPr>
      <w:r>
        <w:rPr>
          <w:sz w:val="24"/>
          <w:lang w:eastAsia="zh-CN"/>
        </w:rPr>
        <w:tab/>
      </w:r>
    </w:p>
    <w:p w:rsidR="00067C65" w:rsidRDefault="00067C65">
      <w:pPr>
        <w:jc w:val="both"/>
        <w:rPr>
          <w:rFonts w:eastAsia="宋体"/>
          <w:lang w:eastAsia="zh-CN"/>
        </w:rPr>
      </w:pPr>
      <w:r>
        <w:rPr>
          <w:rFonts w:eastAsia="宋体"/>
          <w:lang w:eastAsia="zh-CN"/>
        </w:rPr>
        <w:t xml:space="preserve">In this contribution, we aim at analysis </w:t>
      </w:r>
      <w:r>
        <w:rPr>
          <w:rFonts w:eastAsia="宋体" w:hint="eastAsia"/>
          <w:lang w:eastAsia="zh-CN"/>
        </w:rPr>
        <w:t>a</w:t>
      </w:r>
      <w:r>
        <w:rPr>
          <w:rFonts w:eastAsia="宋体"/>
          <w:lang w:eastAsia="zh-CN"/>
        </w:rPr>
        <w:t>nd</w:t>
      </w:r>
      <w:r>
        <w:rPr>
          <w:rFonts w:eastAsia="宋体" w:hint="eastAsia"/>
          <w:lang w:eastAsia="zh-CN"/>
        </w:rPr>
        <w:t xml:space="preserve"> proposals</w:t>
      </w:r>
      <w:r>
        <w:rPr>
          <w:rFonts w:eastAsia="宋体"/>
          <w:lang w:eastAsia="zh-CN"/>
        </w:rPr>
        <w:t xml:space="preserve"> on </w:t>
      </w:r>
      <w:r>
        <w:rPr>
          <w:rFonts w:eastAsia="宋体" w:hint="eastAsia"/>
          <w:lang w:eastAsia="zh-CN"/>
        </w:rPr>
        <w:t>mechanism</w:t>
      </w:r>
      <w:r>
        <w:rPr>
          <w:rFonts w:eastAsia="宋体"/>
          <w:lang w:eastAsia="zh-CN"/>
        </w:rPr>
        <w:t>s to configure SL DRX for groupcast and broadcast.</w:t>
      </w:r>
    </w:p>
    <w:p w:rsidR="00067C65" w:rsidRPr="005707D3" w:rsidRDefault="00067C65" w:rsidP="005707D3">
      <w:pPr>
        <w:pStyle w:val="1"/>
        <w:keepLines/>
        <w:numPr>
          <w:ilvl w:val="0"/>
          <w:numId w:val="5"/>
        </w:numPr>
        <w:pBdr>
          <w:top w:val="single" w:sz="12" w:space="3" w:color="auto"/>
        </w:pBdr>
        <w:overflowPunct w:val="0"/>
        <w:autoSpaceDE w:val="0"/>
        <w:autoSpaceDN w:val="0"/>
        <w:adjustRightInd w:val="0"/>
        <w:spacing w:before="240" w:after="0"/>
        <w:jc w:val="both"/>
        <w:textAlignment w:val="baseline"/>
        <w:rPr>
          <w:rFonts w:cs="Times New Roman" w:hint="eastAsia"/>
          <w:b w:val="0"/>
          <w:bCs w:val="0"/>
          <w:kern w:val="0"/>
          <w:sz w:val="36"/>
          <w:szCs w:val="20"/>
        </w:rPr>
      </w:pPr>
      <w:r>
        <w:rPr>
          <w:rFonts w:cs="Times New Roman"/>
          <w:b w:val="0"/>
          <w:bCs w:val="0"/>
          <w:kern w:val="0"/>
          <w:sz w:val="36"/>
          <w:szCs w:val="20"/>
        </w:rPr>
        <w:t>Discussion</w:t>
      </w:r>
    </w:p>
    <w:p w:rsidR="00067C65" w:rsidRDefault="00067C65" w:rsidP="005707D3">
      <w:pPr>
        <w:pStyle w:val="20"/>
        <w:keepLines/>
        <w:numPr>
          <w:ilvl w:val="1"/>
          <w:numId w:val="5"/>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SL DRX configuration for groupcast and broadcast</w:t>
      </w:r>
    </w:p>
    <w:p w:rsidR="00067C65" w:rsidRDefault="00067C65">
      <w:pPr>
        <w:pStyle w:val="a0"/>
        <w:rPr>
          <w:rFonts w:eastAsia="等线"/>
          <w:lang w:eastAsia="zh-CN"/>
        </w:rPr>
      </w:pPr>
      <w:r>
        <w:rPr>
          <w:rFonts w:eastAsia="等线" w:hint="eastAsia"/>
          <w:lang w:val="en-GB" w:eastAsia="zh-CN"/>
        </w:rPr>
        <w:t>I</w:t>
      </w:r>
      <w:r>
        <w:rPr>
          <w:rFonts w:eastAsia="等线"/>
          <w:lang w:val="en-GB" w:eastAsia="zh-CN"/>
        </w:rPr>
        <w:t xml:space="preserve">n the last meeting, </w:t>
      </w:r>
      <w:r>
        <w:rPr>
          <w:rFonts w:eastAsia="等线" w:hint="eastAsia"/>
          <w:lang w:val="en-GB" w:eastAsia="zh-CN"/>
        </w:rPr>
        <w:t>R</w:t>
      </w:r>
      <w:r>
        <w:rPr>
          <w:rFonts w:eastAsia="等线"/>
          <w:lang w:val="en-GB" w:eastAsia="zh-CN"/>
        </w:rPr>
        <w:t xml:space="preserve">AN2 had agreed that </w:t>
      </w:r>
      <w:r>
        <w:t>SL DRX configuration should be acquired by TX UE and RX UE(s) separately from SIB or pre-</w:t>
      </w:r>
      <w:proofErr w:type="spellStart"/>
      <w:r>
        <w:t>configuraiton</w:t>
      </w:r>
      <w:proofErr w:type="spellEnd"/>
      <w:r>
        <w:t xml:space="preserve"> for groupcast and broadcast. That is to say, TX UE and RX UE(s) need to choose same DRX parameters based on services information. </w:t>
      </w:r>
    </w:p>
    <w:p w:rsidR="00067C65" w:rsidRDefault="00067C65">
      <w:pPr>
        <w:pStyle w:val="a0"/>
        <w:rPr>
          <w:rFonts w:eastAsia="等线"/>
          <w:lang w:val="en-GB" w:eastAsia="zh-CN"/>
        </w:rPr>
      </w:pPr>
      <w:r>
        <w:rPr>
          <w:rFonts w:eastAsia="等线" w:hint="eastAsia"/>
          <w:lang w:val="en-GB" w:eastAsia="zh-CN"/>
        </w:rPr>
        <w:t>I</w:t>
      </w:r>
      <w:r>
        <w:rPr>
          <w:rFonts w:eastAsia="等线"/>
          <w:lang w:val="en-GB" w:eastAsia="zh-CN"/>
        </w:rPr>
        <w:t>n TS23.287, there are following key information for groupcast and broadcast: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067C65">
        <w:tc>
          <w:tcPr>
            <w:tcW w:w="9286" w:type="dxa"/>
          </w:tcPr>
          <w:p w:rsidR="00067C65" w:rsidRDefault="00067C65">
            <w:pPr>
              <w:pStyle w:val="B10"/>
            </w:pPr>
            <w:r>
              <w:t>-</w:t>
            </w:r>
            <w:r>
              <w:tab/>
              <w:t xml:space="preserve">For broadcast and groupcast modes of V2X communication over NR based PC5, </w:t>
            </w:r>
            <w:r>
              <w:rPr>
                <w:highlight w:val="yellow"/>
              </w:rPr>
              <w:t>standardized PQI values</w:t>
            </w:r>
            <w:r>
              <w:t xml:space="preserve"> </w:t>
            </w:r>
            <w:r>
              <w:rPr>
                <w:lang w:eastAsia="zh-CN"/>
              </w:rPr>
              <w:t>are</w:t>
            </w:r>
            <w:r>
              <w:t xml:space="preserve"> applied by the UE, as there is no signalling over PC5 reference point for these cases.</w:t>
            </w:r>
          </w:p>
          <w:p w:rsidR="00067C65" w:rsidRDefault="00067C65">
            <w:pPr>
              <w:pStyle w:val="B10"/>
            </w:pPr>
            <w:r>
              <w:lastRenderedPageBreak/>
              <w:t>6)</w:t>
            </w:r>
            <w:r>
              <w:tab/>
              <w:t>Policy/parameters when NR PC5 is selected:</w:t>
            </w:r>
          </w:p>
          <w:p w:rsidR="00067C65" w:rsidRDefault="00067C65">
            <w:pPr>
              <w:pStyle w:val="B2"/>
            </w:pPr>
            <w:r>
              <w:t>-</w:t>
            </w:r>
            <w:r>
              <w:tab/>
              <w:t>The mapping of V2X service types to V2X frequencies with Geographical Area(s).</w:t>
            </w:r>
          </w:p>
          <w:p w:rsidR="00067C65" w:rsidRDefault="00067C65">
            <w:pPr>
              <w:pStyle w:val="B2"/>
            </w:pPr>
            <w:r>
              <w:t>-</w:t>
            </w:r>
            <w:r>
              <w:tab/>
              <w:t>The mapping of V2X service types to the default mode of communication (i.e. broadcast mode, groupcast mode or unicast mode).</w:t>
            </w:r>
          </w:p>
          <w:p w:rsidR="00067C65" w:rsidRDefault="00067C65">
            <w:pPr>
              <w:pStyle w:val="B2"/>
            </w:pPr>
            <w:r>
              <w:t>-</w:t>
            </w:r>
            <w:r>
              <w:tab/>
            </w:r>
            <w:r>
              <w:rPr>
                <w:highlight w:val="yellow"/>
              </w:rPr>
              <w:t>The mapping of V2X service types to Destination Layer-2 ID(s) for broadcast</w:t>
            </w:r>
            <w:r>
              <w:t>.</w:t>
            </w:r>
          </w:p>
          <w:p w:rsidR="00067C65" w:rsidRDefault="00067C65">
            <w:pPr>
              <w:pStyle w:val="B2"/>
            </w:pPr>
            <w:r>
              <w:t>-</w:t>
            </w:r>
            <w:r>
              <w:tab/>
            </w:r>
            <w:r>
              <w:rPr>
                <w:highlight w:val="yellow"/>
              </w:rPr>
              <w:t>The mapping of V2X service types to Destination Layer-2 ID(s) for groupcast mode communication</w:t>
            </w:r>
            <w:r>
              <w:t>.</w:t>
            </w:r>
          </w:p>
          <w:p w:rsidR="00067C65" w:rsidRDefault="00067C65">
            <w:pPr>
              <w:pStyle w:val="B2"/>
            </w:pPr>
            <w:r>
              <w:t>-</w:t>
            </w:r>
            <w:r>
              <w:tab/>
              <w:t>The mapping of V2X service types to default Destination Layer-2 ID(s) for initial signalling to establish unicast connection.</w:t>
            </w:r>
          </w:p>
          <w:p w:rsidR="00067C65" w:rsidRDefault="00067C65">
            <w:pPr>
              <w:pStyle w:val="B2"/>
              <w:rPr>
                <w:lang w:eastAsia="ko-KR"/>
              </w:rPr>
            </w:pPr>
            <w:r>
              <w:rPr>
                <w:lang w:eastAsia="ko-KR"/>
              </w:rPr>
              <w:t>-</w:t>
            </w:r>
            <w:r>
              <w:rPr>
                <w:lang w:eastAsia="ko-KR"/>
              </w:rPr>
              <w:tab/>
              <w:t xml:space="preserve">The mapping of </w:t>
            </w:r>
            <w:r>
              <w:rPr>
                <w:highlight w:val="yellow"/>
                <w:lang w:eastAsia="ko-KR"/>
              </w:rPr>
              <w:t>V2X service types to PC5 QoS parameters</w:t>
            </w:r>
            <w:r>
              <w:rPr>
                <w:lang w:eastAsia="ko-KR"/>
              </w:rPr>
              <w:t xml:space="preserve"> defined in clause 5.4.2 (i.e. PQI and conditionally other parameters such as MFBR/GFBR, etc.).</w:t>
            </w:r>
          </w:p>
          <w:p w:rsidR="00067C65" w:rsidRDefault="00067C65">
            <w:pPr>
              <w:pStyle w:val="a0"/>
            </w:pPr>
          </w:p>
          <w:p w:rsidR="00067C65" w:rsidRDefault="00067C65">
            <w:pPr>
              <w:pStyle w:val="a0"/>
            </w:pPr>
            <w:r>
              <w:t>For groupcast mode of V2X communication over PC5</w:t>
            </w:r>
            <w:r>
              <w:rPr>
                <w:lang w:eastAsia="ko-KR"/>
              </w:rPr>
              <w:t xml:space="preserve"> reference point</w:t>
            </w:r>
            <w:r>
              <w:t xml:space="preserve">, the V2X application layer may provide group identifier information. </w:t>
            </w:r>
            <w:r>
              <w:rPr>
                <w:highlight w:val="yellow"/>
              </w:rPr>
              <w:t>When the group identifier information is provided by the V2X application layer, the UE converts the provided group identifier into a destination Layer-2 ID</w:t>
            </w:r>
            <w:r>
              <w:t>. When the group identifier information is not provided by the V2X application layer, the UE determines the destination Layer-2 ID based on configuration of the mapping between V2X service type and Layer-2 ID.</w:t>
            </w:r>
          </w:p>
        </w:tc>
      </w:tr>
    </w:tbl>
    <w:p w:rsidR="00067C65" w:rsidRDefault="00067C65">
      <w:pPr>
        <w:pStyle w:val="a0"/>
        <w:rPr>
          <w:rFonts w:eastAsia="等线"/>
          <w:lang w:val="en-GB" w:eastAsia="zh-CN"/>
        </w:rPr>
      </w:pPr>
      <w:r>
        <w:rPr>
          <w:rFonts w:eastAsia="等线" w:hint="eastAsia"/>
          <w:lang w:val="en-GB" w:eastAsia="zh-CN"/>
        </w:rPr>
        <w:lastRenderedPageBreak/>
        <w:t>B</w:t>
      </w:r>
      <w:r>
        <w:rPr>
          <w:rFonts w:eastAsia="等线"/>
          <w:lang w:val="en-GB" w:eastAsia="zh-CN"/>
        </w:rPr>
        <w:t>ased on the above, we have following illustrations for broadcast and groupcast services about relationships between Destination Layer-2 ID, service type and QoS flow information.</w:t>
      </w:r>
    </w:p>
    <w:p w:rsidR="00067C65" w:rsidRPr="00EF2A29" w:rsidRDefault="00067C65" w:rsidP="00EF2A29">
      <w:pPr>
        <w:pStyle w:val="ae"/>
        <w:keepNext/>
        <w:jc w:val="center"/>
        <w:rPr>
          <w:b/>
        </w:rPr>
      </w:pPr>
      <w:r w:rsidRPr="00EF2A29">
        <w:rPr>
          <w:b/>
        </w:rPr>
        <w:t xml:space="preserve">Table </w:t>
      </w:r>
      <w:r w:rsidRPr="00EF2A29">
        <w:rPr>
          <w:b/>
        </w:rPr>
        <w:fldChar w:fldCharType="begin"/>
      </w:r>
      <w:r w:rsidRPr="00EF2A29">
        <w:rPr>
          <w:b/>
        </w:rPr>
        <w:instrText xml:space="preserve"> SEQ Table \* ARABIC </w:instrText>
      </w:r>
      <w:r w:rsidRPr="00EF2A29">
        <w:rPr>
          <w:b/>
        </w:rPr>
        <w:fldChar w:fldCharType="separate"/>
      </w:r>
      <w:r w:rsidRPr="00EF2A29">
        <w:rPr>
          <w:b/>
          <w:lang w:val="en-US" w:eastAsia="zh-CN"/>
        </w:rPr>
        <w:t>1</w:t>
      </w:r>
      <w:r w:rsidRPr="00EF2A29">
        <w:rPr>
          <w:b/>
        </w:rPr>
        <w:fldChar w:fldCharType="end"/>
      </w:r>
      <w:r w:rsidRPr="00EF2A29">
        <w:rPr>
          <w:b/>
        </w:rPr>
        <w:t xml:space="preserve"> Illustrations for broadcast and gro</w:t>
      </w:r>
      <w:bookmarkStart w:id="7" w:name="_GoBack"/>
      <w:bookmarkEnd w:id="7"/>
      <w:r w:rsidRPr="00EF2A29">
        <w:rPr>
          <w:b/>
        </w:rPr>
        <w:t>upcast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2528"/>
        <w:gridCol w:w="1685"/>
        <w:gridCol w:w="1245"/>
        <w:gridCol w:w="1929"/>
      </w:tblGrid>
      <w:tr w:rsidR="00067C65">
        <w:tc>
          <w:tcPr>
            <w:tcW w:w="1720" w:type="dxa"/>
          </w:tcPr>
          <w:p w:rsidR="00067C65" w:rsidRDefault="00067C65">
            <w:pPr>
              <w:pStyle w:val="a0"/>
              <w:rPr>
                <w:rFonts w:eastAsia="等线"/>
                <w:lang w:val="en-GB" w:eastAsia="zh-CN"/>
              </w:rPr>
            </w:pPr>
          </w:p>
        </w:tc>
        <w:tc>
          <w:tcPr>
            <w:tcW w:w="2641" w:type="dxa"/>
          </w:tcPr>
          <w:p w:rsidR="00067C65" w:rsidRDefault="00067C65">
            <w:pPr>
              <w:pStyle w:val="a0"/>
              <w:rPr>
                <w:rFonts w:eastAsia="等线"/>
                <w:lang w:val="en-GB" w:eastAsia="zh-CN"/>
              </w:rPr>
            </w:pPr>
            <w:r>
              <w:rPr>
                <w:rFonts w:eastAsia="等线" w:hint="eastAsia"/>
                <w:lang w:val="en-GB" w:eastAsia="zh-CN"/>
              </w:rPr>
              <w:t>D</w:t>
            </w:r>
            <w:r>
              <w:rPr>
                <w:rFonts w:eastAsia="等线"/>
                <w:lang w:val="en-GB" w:eastAsia="zh-CN"/>
              </w:rPr>
              <w:t>estination Layer-2 ID</w:t>
            </w:r>
          </w:p>
        </w:tc>
        <w:tc>
          <w:tcPr>
            <w:tcW w:w="1701" w:type="dxa"/>
          </w:tcPr>
          <w:p w:rsidR="00067C65" w:rsidRDefault="00067C65">
            <w:pPr>
              <w:pStyle w:val="a0"/>
              <w:rPr>
                <w:rFonts w:eastAsia="等线"/>
                <w:lang w:val="en-GB" w:eastAsia="zh-CN"/>
              </w:rPr>
            </w:pPr>
            <w:r>
              <w:rPr>
                <w:rFonts w:eastAsia="等线" w:hint="eastAsia"/>
                <w:lang w:val="en-GB" w:eastAsia="zh-CN"/>
              </w:rPr>
              <w:t>S</w:t>
            </w:r>
            <w:r>
              <w:rPr>
                <w:rFonts w:eastAsia="等线"/>
                <w:lang w:val="en-GB" w:eastAsia="zh-CN"/>
              </w:rPr>
              <w:t>ervice type</w:t>
            </w:r>
          </w:p>
        </w:tc>
        <w:tc>
          <w:tcPr>
            <w:tcW w:w="1276" w:type="dxa"/>
          </w:tcPr>
          <w:p w:rsidR="00067C65" w:rsidRDefault="00067C65">
            <w:pPr>
              <w:pStyle w:val="a0"/>
              <w:rPr>
                <w:rFonts w:eastAsia="等线"/>
                <w:lang w:val="en-GB" w:eastAsia="zh-CN"/>
              </w:rPr>
            </w:pPr>
            <w:r>
              <w:rPr>
                <w:rFonts w:eastAsia="等线" w:hint="eastAsia"/>
                <w:lang w:val="en-GB" w:eastAsia="zh-CN"/>
              </w:rPr>
              <w:t>Q</w:t>
            </w:r>
            <w:r>
              <w:rPr>
                <w:rFonts w:eastAsia="等线"/>
                <w:lang w:val="en-GB" w:eastAsia="zh-CN"/>
              </w:rPr>
              <w:t>oS and PFI</w:t>
            </w:r>
          </w:p>
        </w:tc>
        <w:tc>
          <w:tcPr>
            <w:tcW w:w="1948" w:type="dxa"/>
          </w:tcPr>
          <w:p w:rsidR="00067C65" w:rsidRDefault="00067C65">
            <w:pPr>
              <w:pStyle w:val="a0"/>
              <w:rPr>
                <w:rFonts w:eastAsia="等线"/>
                <w:lang w:val="en-GB" w:eastAsia="zh-CN"/>
              </w:rPr>
            </w:pPr>
            <w:r>
              <w:rPr>
                <w:rFonts w:eastAsia="等线" w:hint="eastAsia"/>
                <w:lang w:val="en-GB" w:eastAsia="zh-CN"/>
              </w:rPr>
              <w:t>M</w:t>
            </w:r>
            <w:r>
              <w:rPr>
                <w:rFonts w:eastAsia="等线"/>
                <w:lang w:val="en-GB" w:eastAsia="zh-CN"/>
              </w:rPr>
              <w:t>apping relationship</w:t>
            </w:r>
          </w:p>
        </w:tc>
      </w:tr>
      <w:tr w:rsidR="00067C65">
        <w:tc>
          <w:tcPr>
            <w:tcW w:w="1720" w:type="dxa"/>
          </w:tcPr>
          <w:p w:rsidR="00067C65" w:rsidRDefault="00067C65">
            <w:pPr>
              <w:pStyle w:val="a0"/>
              <w:rPr>
                <w:rFonts w:eastAsia="等线"/>
                <w:lang w:val="en-GB" w:eastAsia="zh-CN"/>
              </w:rPr>
            </w:pPr>
            <w:r>
              <w:rPr>
                <w:rFonts w:eastAsia="等线" w:hint="eastAsia"/>
                <w:lang w:val="en-GB" w:eastAsia="zh-CN"/>
              </w:rPr>
              <w:t>B</w:t>
            </w:r>
            <w:r>
              <w:rPr>
                <w:rFonts w:eastAsia="等线"/>
                <w:lang w:val="en-GB" w:eastAsia="zh-CN"/>
              </w:rPr>
              <w:t>roadcast</w:t>
            </w:r>
          </w:p>
        </w:tc>
        <w:tc>
          <w:tcPr>
            <w:tcW w:w="2641" w:type="dxa"/>
          </w:tcPr>
          <w:p w:rsidR="00067C65" w:rsidRDefault="00067C65">
            <w:pPr>
              <w:pStyle w:val="a0"/>
              <w:rPr>
                <w:rFonts w:eastAsia="等线"/>
                <w:lang w:val="en-GB" w:eastAsia="zh-CN"/>
              </w:rPr>
            </w:pPr>
            <w:r>
              <w:t>UE is configured with the destination Layer-2 ID(s) to be used for V2X services.</w:t>
            </w:r>
          </w:p>
        </w:tc>
        <w:tc>
          <w:tcPr>
            <w:tcW w:w="1701" w:type="dxa"/>
          </w:tcPr>
          <w:p w:rsidR="00067C65" w:rsidRDefault="00067C65">
            <w:pPr>
              <w:pStyle w:val="a0"/>
              <w:rPr>
                <w:rFonts w:eastAsia="等线"/>
                <w:lang w:val="en-GB" w:eastAsia="zh-CN"/>
              </w:rPr>
            </w:pPr>
            <w:r>
              <w:rPr>
                <w:rFonts w:eastAsia="等线" w:hint="eastAsia"/>
                <w:lang w:val="en-GB" w:eastAsia="zh-CN"/>
              </w:rPr>
              <w:t>W</w:t>
            </w:r>
            <w:r>
              <w:rPr>
                <w:rFonts w:eastAsia="等线"/>
                <w:lang w:val="en-GB" w:eastAsia="zh-CN"/>
              </w:rPr>
              <w:t xml:space="preserve">ith the </w:t>
            </w:r>
            <w:r>
              <w:t>mapping of V2X service types to Destination Layer-2 ID(s) for broadcast</w:t>
            </w:r>
          </w:p>
        </w:tc>
        <w:tc>
          <w:tcPr>
            <w:tcW w:w="1276" w:type="dxa"/>
          </w:tcPr>
          <w:p w:rsidR="00067C65" w:rsidRDefault="00067C65">
            <w:pPr>
              <w:pStyle w:val="a0"/>
              <w:rPr>
                <w:rFonts w:eastAsia="等线"/>
                <w:lang w:val="en-GB" w:eastAsia="zh-CN"/>
              </w:rPr>
            </w:pPr>
            <w:r>
              <w:rPr>
                <w:rFonts w:eastAsia="等线" w:hint="eastAsia"/>
                <w:lang w:val="en-GB" w:eastAsia="zh-CN"/>
              </w:rPr>
              <w:t>V</w:t>
            </w:r>
            <w:r>
              <w:rPr>
                <w:rFonts w:eastAsia="等线"/>
                <w:lang w:val="en-GB" w:eastAsia="zh-CN"/>
              </w:rPr>
              <w:t>2X layer provides to AS layer</w:t>
            </w:r>
          </w:p>
        </w:tc>
        <w:tc>
          <w:tcPr>
            <w:tcW w:w="1948" w:type="dxa"/>
            <w:vMerge w:val="restart"/>
          </w:tcPr>
          <w:p w:rsidR="00067C65" w:rsidRDefault="00067C65">
            <w:pPr>
              <w:pStyle w:val="a0"/>
              <w:rPr>
                <w:rFonts w:eastAsia="等线"/>
                <w:lang w:val="en-GB" w:eastAsia="zh-CN"/>
              </w:rPr>
            </w:pPr>
            <w:r>
              <w:t>Policy/parameters:</w:t>
            </w:r>
          </w:p>
          <w:p w:rsidR="00067C65" w:rsidRDefault="00067C65">
            <w:pPr>
              <w:pStyle w:val="a0"/>
              <w:rPr>
                <w:rFonts w:eastAsia="等线"/>
                <w:lang w:val="en-GB" w:eastAsia="zh-CN"/>
              </w:rPr>
            </w:pPr>
            <w:r>
              <w:rPr>
                <w:rFonts w:eastAsia="等线" w:hint="eastAsia"/>
                <w:lang w:val="en-GB" w:eastAsia="zh-CN"/>
              </w:rPr>
              <w:t>S</w:t>
            </w:r>
            <w:r>
              <w:rPr>
                <w:rFonts w:eastAsia="等线"/>
                <w:lang w:val="en-GB" w:eastAsia="zh-CN"/>
              </w:rPr>
              <w:t>ervice types -&gt; Destination Layer-2 ID(s)</w:t>
            </w:r>
          </w:p>
          <w:p w:rsidR="00067C65" w:rsidRDefault="00067C65">
            <w:pPr>
              <w:pStyle w:val="a0"/>
              <w:rPr>
                <w:rFonts w:eastAsia="等线"/>
                <w:lang w:val="en-GB" w:eastAsia="zh-CN"/>
              </w:rPr>
            </w:pPr>
            <w:r>
              <w:rPr>
                <w:rFonts w:eastAsia="等线" w:hint="eastAsia"/>
                <w:lang w:val="en-GB" w:eastAsia="zh-CN"/>
              </w:rPr>
              <w:t>S</w:t>
            </w:r>
            <w:r>
              <w:rPr>
                <w:rFonts w:eastAsia="等线"/>
                <w:lang w:val="en-GB" w:eastAsia="zh-CN"/>
              </w:rPr>
              <w:t>ervice types -&gt; PC5 QoS parameters</w:t>
            </w:r>
          </w:p>
        </w:tc>
      </w:tr>
      <w:tr w:rsidR="00067C65">
        <w:tc>
          <w:tcPr>
            <w:tcW w:w="1720" w:type="dxa"/>
          </w:tcPr>
          <w:p w:rsidR="00067C65" w:rsidRDefault="00067C65">
            <w:pPr>
              <w:pStyle w:val="a0"/>
              <w:rPr>
                <w:rFonts w:eastAsia="等线"/>
                <w:lang w:val="en-GB" w:eastAsia="zh-CN"/>
              </w:rPr>
            </w:pPr>
            <w:r>
              <w:t>Groupcast for application Layer connection-less group</w:t>
            </w:r>
          </w:p>
        </w:tc>
        <w:tc>
          <w:tcPr>
            <w:tcW w:w="2641" w:type="dxa"/>
          </w:tcPr>
          <w:p w:rsidR="00067C65" w:rsidRDefault="00067C65">
            <w:pPr>
              <w:pStyle w:val="a0"/>
              <w:rPr>
                <w:rFonts w:eastAsia="等线"/>
                <w:lang w:val="en-GB" w:eastAsia="zh-CN"/>
              </w:rPr>
            </w:pPr>
            <w:r>
              <w:t>When the group identifier information is not provided by the V2X application layer, the UE determines the destination Layer-2 ID based on configuration of the mapping between V2X service type and Layer-2 ID</w:t>
            </w:r>
          </w:p>
        </w:tc>
        <w:tc>
          <w:tcPr>
            <w:tcW w:w="1701" w:type="dxa"/>
          </w:tcPr>
          <w:p w:rsidR="00067C65" w:rsidRDefault="00067C65">
            <w:pPr>
              <w:pStyle w:val="a0"/>
              <w:rPr>
                <w:rFonts w:eastAsia="等线"/>
                <w:lang w:val="en-GB" w:eastAsia="zh-CN"/>
              </w:rPr>
            </w:pPr>
            <w:r>
              <w:t>With the mapping of V2X service types to Destination Layer-2 ID(s) for groupcast mode communication.</w:t>
            </w:r>
          </w:p>
        </w:tc>
        <w:tc>
          <w:tcPr>
            <w:tcW w:w="1276" w:type="dxa"/>
          </w:tcPr>
          <w:p w:rsidR="00067C65" w:rsidRDefault="00067C65">
            <w:pPr>
              <w:pStyle w:val="a0"/>
              <w:rPr>
                <w:rFonts w:eastAsia="等线"/>
                <w:lang w:val="en-GB" w:eastAsia="zh-CN"/>
              </w:rPr>
            </w:pPr>
            <w:r>
              <w:rPr>
                <w:rFonts w:eastAsia="等线" w:hint="eastAsia"/>
                <w:lang w:val="en-GB" w:eastAsia="zh-CN"/>
              </w:rPr>
              <w:t>V</w:t>
            </w:r>
            <w:r>
              <w:rPr>
                <w:rFonts w:eastAsia="等线"/>
                <w:lang w:val="en-GB" w:eastAsia="zh-CN"/>
              </w:rPr>
              <w:t>2X layer provides to AS layer</w:t>
            </w:r>
          </w:p>
        </w:tc>
        <w:tc>
          <w:tcPr>
            <w:tcW w:w="1948" w:type="dxa"/>
            <w:vMerge/>
          </w:tcPr>
          <w:p w:rsidR="00067C65" w:rsidRDefault="00067C65">
            <w:pPr>
              <w:pStyle w:val="a0"/>
              <w:rPr>
                <w:rFonts w:eastAsia="等线"/>
                <w:lang w:val="en-GB" w:eastAsia="zh-CN"/>
              </w:rPr>
            </w:pPr>
          </w:p>
        </w:tc>
      </w:tr>
      <w:tr w:rsidR="00067C65">
        <w:tc>
          <w:tcPr>
            <w:tcW w:w="1720" w:type="dxa"/>
          </w:tcPr>
          <w:p w:rsidR="00067C65" w:rsidRDefault="00067C65">
            <w:pPr>
              <w:pStyle w:val="a0"/>
              <w:rPr>
                <w:rFonts w:eastAsia="等线"/>
                <w:lang w:val="en-GB" w:eastAsia="zh-CN"/>
              </w:rPr>
            </w:pPr>
            <w:r>
              <w:t>Groupcast for application Layer managed group</w:t>
            </w:r>
          </w:p>
        </w:tc>
        <w:tc>
          <w:tcPr>
            <w:tcW w:w="2641" w:type="dxa"/>
          </w:tcPr>
          <w:p w:rsidR="00067C65" w:rsidRDefault="00067C65">
            <w:pPr>
              <w:pStyle w:val="a0"/>
              <w:rPr>
                <w:rFonts w:eastAsia="等线"/>
                <w:lang w:val="en-GB" w:eastAsia="zh-CN"/>
              </w:rPr>
            </w:pPr>
            <w:r>
              <w:t>When the group identifier information is provided by the V2X application layer, the UE converts the provided group identifier into a destination Layer-2 ID</w:t>
            </w:r>
          </w:p>
        </w:tc>
        <w:tc>
          <w:tcPr>
            <w:tcW w:w="1701" w:type="dxa"/>
          </w:tcPr>
          <w:p w:rsidR="00067C65" w:rsidRDefault="00067C65">
            <w:pPr>
              <w:pStyle w:val="a0"/>
              <w:rPr>
                <w:rFonts w:eastAsia="等线"/>
                <w:lang w:val="en-GB" w:eastAsia="zh-CN"/>
              </w:rPr>
            </w:pPr>
            <w:r>
              <w:rPr>
                <w:rFonts w:eastAsia="等线" w:hint="eastAsia"/>
                <w:lang w:val="en-GB" w:eastAsia="zh-CN"/>
              </w:rPr>
              <w:t>V</w:t>
            </w:r>
            <w:r>
              <w:rPr>
                <w:rFonts w:eastAsia="等线"/>
                <w:lang w:val="en-GB" w:eastAsia="zh-CN"/>
              </w:rPr>
              <w:t>2X layer provide</w:t>
            </w:r>
          </w:p>
        </w:tc>
        <w:tc>
          <w:tcPr>
            <w:tcW w:w="1276" w:type="dxa"/>
          </w:tcPr>
          <w:p w:rsidR="00067C65" w:rsidRDefault="00067C65">
            <w:pPr>
              <w:pStyle w:val="a0"/>
              <w:rPr>
                <w:rFonts w:eastAsia="等线"/>
                <w:lang w:val="en-GB" w:eastAsia="zh-CN"/>
              </w:rPr>
            </w:pPr>
            <w:r>
              <w:rPr>
                <w:rFonts w:eastAsia="等线" w:hint="eastAsia"/>
                <w:lang w:val="en-GB" w:eastAsia="zh-CN"/>
              </w:rPr>
              <w:t>V</w:t>
            </w:r>
            <w:r>
              <w:rPr>
                <w:rFonts w:eastAsia="等线"/>
                <w:lang w:val="en-GB" w:eastAsia="zh-CN"/>
              </w:rPr>
              <w:t>2X layer provides to AS layer</w:t>
            </w:r>
          </w:p>
        </w:tc>
        <w:tc>
          <w:tcPr>
            <w:tcW w:w="1948" w:type="dxa"/>
          </w:tcPr>
          <w:p w:rsidR="00067C65" w:rsidRDefault="00067C65">
            <w:pPr>
              <w:pStyle w:val="a0"/>
              <w:rPr>
                <w:rFonts w:eastAsia="等线"/>
                <w:lang w:val="en-GB" w:eastAsia="zh-CN"/>
              </w:rPr>
            </w:pPr>
            <w:r>
              <w:t>Destination Layer-2 ID converted by group identifier</w:t>
            </w:r>
          </w:p>
        </w:tc>
      </w:tr>
    </w:tbl>
    <w:p w:rsidR="00067C65" w:rsidRDefault="00067C65">
      <w:pPr>
        <w:pStyle w:val="a0"/>
      </w:pPr>
      <w:r>
        <w:t>Hence, there may be three granularities to configure DRX parameter sets for groupcast and broadcast:</w:t>
      </w:r>
    </w:p>
    <w:p w:rsidR="00067C65" w:rsidRDefault="00067C65">
      <w:pPr>
        <w:pStyle w:val="a0"/>
        <w:numPr>
          <w:ilvl w:val="0"/>
          <w:numId w:val="7"/>
        </w:numPr>
        <w:rPr>
          <w:rFonts w:eastAsia="等线"/>
          <w:lang w:eastAsia="zh-CN"/>
        </w:rPr>
      </w:pPr>
      <w:r>
        <w:rPr>
          <w:rFonts w:eastAsia="等线"/>
          <w:lang w:eastAsia="zh-CN"/>
        </w:rPr>
        <w:t xml:space="preserve">Option 1: per pre-defined destination Layer-2 ID;  </w:t>
      </w:r>
    </w:p>
    <w:p w:rsidR="00067C65" w:rsidRDefault="00067C65">
      <w:pPr>
        <w:pStyle w:val="a0"/>
        <w:numPr>
          <w:ilvl w:val="0"/>
          <w:numId w:val="7"/>
        </w:numPr>
        <w:rPr>
          <w:rFonts w:eastAsia="等线"/>
          <w:lang w:eastAsia="zh-CN"/>
        </w:rPr>
      </w:pPr>
      <w:r>
        <w:rPr>
          <w:rFonts w:eastAsia="等线" w:hint="eastAsia"/>
          <w:lang w:eastAsia="zh-CN"/>
        </w:rPr>
        <w:t>O</w:t>
      </w:r>
      <w:r>
        <w:rPr>
          <w:rFonts w:eastAsia="等线"/>
          <w:lang w:eastAsia="zh-CN"/>
        </w:rPr>
        <w:t xml:space="preserve">ption 2: per pre-defined service type;  </w:t>
      </w:r>
    </w:p>
    <w:p w:rsidR="00067C65" w:rsidRDefault="00067C65">
      <w:pPr>
        <w:pStyle w:val="a0"/>
        <w:numPr>
          <w:ilvl w:val="0"/>
          <w:numId w:val="7"/>
        </w:numPr>
        <w:rPr>
          <w:rFonts w:eastAsia="等线"/>
          <w:lang w:eastAsia="zh-CN"/>
        </w:rPr>
      </w:pPr>
      <w:r>
        <w:rPr>
          <w:rFonts w:eastAsia="等线"/>
          <w:lang w:eastAsia="zh-CN"/>
        </w:rPr>
        <w:t xml:space="preserve">Option 3: per PC5 </w:t>
      </w:r>
      <w:r>
        <w:rPr>
          <w:rFonts w:eastAsia="等线" w:hint="eastAsia"/>
          <w:lang w:eastAsia="zh-CN"/>
        </w:rPr>
        <w:t>QoS</w:t>
      </w:r>
      <w:r>
        <w:rPr>
          <w:rFonts w:eastAsia="等线"/>
          <w:lang w:eastAsia="zh-CN"/>
        </w:rPr>
        <w:t xml:space="preserve"> profile/list</w:t>
      </w:r>
      <w:r>
        <w:rPr>
          <w:rFonts w:eastAsia="等线" w:hint="eastAsia"/>
          <w:lang w:eastAsia="zh-CN"/>
        </w:rPr>
        <w:t>，</w:t>
      </w:r>
      <w:r>
        <w:rPr>
          <w:rFonts w:eastAsia="等线"/>
          <w:lang w:eastAsia="zh-CN"/>
        </w:rPr>
        <w:t xml:space="preserve">i.e. with standardized PQI values. </w:t>
      </w:r>
    </w:p>
    <w:p w:rsidR="00067C65" w:rsidRDefault="00067C65">
      <w:pPr>
        <w:pStyle w:val="a0"/>
        <w:rPr>
          <w:rFonts w:eastAsia="等线"/>
          <w:lang w:eastAsia="zh-CN"/>
        </w:rPr>
      </w:pPr>
      <w:r>
        <w:rPr>
          <w:rFonts w:eastAsia="等线" w:hint="eastAsia"/>
          <w:lang w:eastAsia="zh-CN"/>
        </w:rPr>
        <w:lastRenderedPageBreak/>
        <w:t>O</w:t>
      </w:r>
      <w:r>
        <w:rPr>
          <w:rFonts w:eastAsia="等线"/>
          <w:lang w:eastAsia="zh-CN"/>
        </w:rPr>
        <w:t>ption 2 is invisible to RAN2 and can be excluded. Both option 1 and option 3 are feasible. Option 1 means that with pre-defined destination Layer-2 ID, TX UE and RX UE(s) can find the corresponding DRX parameter set. From network configuration perspective, each pre-defined destination Layer-2 ID is mapped to several known QoS flows and DRX parameters can be decided by the service characteristics of the overall QoS flows. An example for DRX configuration can be {</w:t>
      </w:r>
      <w:proofErr w:type="spellStart"/>
      <w:r>
        <w:rPr>
          <w:rFonts w:eastAsia="等线"/>
          <w:lang w:eastAsia="zh-CN"/>
        </w:rPr>
        <w:t>desination</w:t>
      </w:r>
      <w:proofErr w:type="spellEnd"/>
      <w:r>
        <w:rPr>
          <w:rFonts w:eastAsia="等线"/>
          <w:lang w:eastAsia="zh-CN"/>
        </w:rPr>
        <w:t xml:space="preserve"> L2 ID list 1, DRX parameter set 1}, {designation L2 ID list 2, DRX parameter set 2} and so on. There may be a signaling overhead issue when the number of pre-defined destination L2 IDs is large or out of control. Furthermore, option 1 </w:t>
      </w:r>
      <w:proofErr w:type="spellStart"/>
      <w:r>
        <w:rPr>
          <w:rFonts w:eastAsia="等线"/>
          <w:lang w:eastAsia="zh-CN"/>
        </w:rPr>
        <w:t>can not</w:t>
      </w:r>
      <w:proofErr w:type="spellEnd"/>
      <w:r>
        <w:rPr>
          <w:rFonts w:eastAsia="等线"/>
          <w:lang w:eastAsia="zh-CN"/>
        </w:rPr>
        <w:t xml:space="preserve"> cover the cases that destination L2 ID is converted by group identifier, i.e. not pre-defined but dynamic L2 ID.</w:t>
      </w:r>
    </w:p>
    <w:p w:rsidR="00067C65" w:rsidRDefault="00067C65">
      <w:pPr>
        <w:pStyle w:val="a0"/>
        <w:rPr>
          <w:rFonts w:eastAsia="等线"/>
          <w:lang w:eastAsia="zh-CN"/>
        </w:rPr>
      </w:pPr>
      <w:r>
        <w:rPr>
          <w:rFonts w:eastAsia="等线" w:hint="eastAsia"/>
          <w:lang w:eastAsia="zh-CN"/>
        </w:rPr>
        <w:t>O</w:t>
      </w:r>
      <w:r>
        <w:rPr>
          <w:rFonts w:eastAsia="等线"/>
          <w:lang w:eastAsia="zh-CN"/>
        </w:rPr>
        <w:t xml:space="preserve">ption 3 is the smallest unit for DRX parameter set determination. </w:t>
      </w:r>
      <w:bookmarkStart w:id="8" w:name="_Hlk67663741"/>
      <w:r>
        <w:rPr>
          <w:rFonts w:eastAsia="等线"/>
          <w:lang w:eastAsia="zh-CN"/>
        </w:rPr>
        <w:t xml:space="preserve">Any groupcast or broadcast service must be composed of one or </w:t>
      </w:r>
      <w:proofErr w:type="spellStart"/>
      <w:r>
        <w:rPr>
          <w:rFonts w:eastAsia="等线"/>
          <w:lang w:eastAsia="zh-CN"/>
        </w:rPr>
        <w:t>sevaral</w:t>
      </w:r>
      <w:proofErr w:type="spellEnd"/>
      <w:r>
        <w:rPr>
          <w:rFonts w:eastAsia="等线"/>
          <w:lang w:eastAsia="zh-CN"/>
        </w:rPr>
        <w:t xml:space="preserve"> QoS flows. Each QoS flow will have standardized QoS profile since</w:t>
      </w:r>
      <w:r>
        <w:rPr>
          <w:highlight w:val="yellow"/>
        </w:rPr>
        <w:t xml:space="preserve"> standardized PQI values</w:t>
      </w:r>
      <w:r>
        <w:t xml:space="preserve"> </w:t>
      </w:r>
      <w:r>
        <w:rPr>
          <w:lang w:eastAsia="zh-CN"/>
        </w:rPr>
        <w:t>are</w:t>
      </w:r>
      <w:r>
        <w:t xml:space="preserve"> applied by the UE</w:t>
      </w:r>
      <w:r>
        <w:rPr>
          <w:rFonts w:eastAsia="等线"/>
          <w:lang w:eastAsia="zh-CN"/>
        </w:rPr>
        <w:t xml:space="preserve"> for groupcast and broadcast modes. SIB/pre-configuration signaling can define a DRX parameter set for each QoS flow and TX/RX UE select</w:t>
      </w:r>
      <w:r>
        <w:rPr>
          <w:rFonts w:eastAsia="Yu Mincho" w:hint="eastAsia"/>
          <w:lang w:eastAsia="ja-JP"/>
        </w:rPr>
        <w:t>s</w:t>
      </w:r>
      <w:r>
        <w:rPr>
          <w:rFonts w:eastAsia="等线"/>
          <w:lang w:eastAsia="zh-CN"/>
        </w:rPr>
        <w:t xml:space="preserve"> the final DRX parameter set based on pre-defined criteria, e.g. the most stringent parameters set. The following table gives an DRX configuration example based on QoS flow level. If a groupcast or broadcast service has one QoS flow of set 1, e.g. delay sensitive, no DRX can be configured, whereas</w:t>
      </w:r>
      <w:r w:rsidR="00235650">
        <w:rPr>
          <w:rFonts w:eastAsia="等线"/>
          <w:lang w:eastAsia="zh-CN"/>
        </w:rPr>
        <w:t xml:space="preserve"> </w:t>
      </w:r>
      <w:r>
        <w:rPr>
          <w:rFonts w:eastAsia="等线"/>
          <w:lang w:eastAsia="zh-CN"/>
        </w:rPr>
        <w:t>DRX set 2, 3, 4, and 5 are traversed in turn and the most stringent DRX parameter set can be found.</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947"/>
        <w:gridCol w:w="902"/>
        <w:gridCol w:w="1031"/>
        <w:gridCol w:w="797"/>
        <w:gridCol w:w="1929"/>
      </w:tblGrid>
      <w:tr w:rsidR="00067C65">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H"/>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PQI</w:t>
            </w:r>
          </w:p>
          <w:p w:rsidR="00067C65" w:rsidRDefault="00067C65">
            <w:pPr>
              <w:pStyle w:val="TAH"/>
            </w:pPr>
            <w:r>
              <w:t>Value</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H"/>
            </w:pPr>
            <w:r>
              <w:t>Default Priority Level</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Packet Error</w:t>
            </w:r>
          </w:p>
          <w:p w:rsidR="00067C65" w:rsidRDefault="00067C65">
            <w:pPr>
              <w:pStyle w:val="TAH"/>
            </w:pPr>
            <w:r>
              <w:t xml:space="preserve">Rate </w:t>
            </w:r>
          </w:p>
        </w:tc>
        <w:tc>
          <w:tcPr>
            <w:tcW w:w="1929" w:type="dxa"/>
            <w:tcBorders>
              <w:top w:val="single" w:sz="12" w:space="0" w:color="auto"/>
              <w:left w:val="single" w:sz="12" w:space="0" w:color="auto"/>
              <w:bottom w:val="single" w:sz="12" w:space="0" w:color="auto"/>
              <w:right w:val="single" w:sz="12" w:space="0" w:color="auto"/>
            </w:tcBorders>
          </w:tcPr>
          <w:p w:rsidR="00067C65" w:rsidRDefault="00067C65">
            <w:pPr>
              <w:pStyle w:val="TAH"/>
            </w:pPr>
            <w:r>
              <w:t>Example DRX parameters</w:t>
            </w:r>
          </w:p>
        </w:tc>
      </w:tr>
      <w:tr w:rsidR="00067C65">
        <w:tc>
          <w:tcPr>
            <w:tcW w:w="947" w:type="dxa"/>
            <w:vMerge w:val="restart"/>
            <w:tcBorders>
              <w:top w:val="single" w:sz="12" w:space="0" w:color="auto"/>
              <w:left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D</w:t>
            </w:r>
            <w:r>
              <w:rPr>
                <w:rFonts w:eastAsia="等线"/>
                <w:lang w:eastAsia="zh-CN"/>
              </w:rPr>
              <w:t>RX Set 1</w:t>
            </w: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91</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-5</w:t>
            </w:r>
          </w:p>
        </w:tc>
        <w:tc>
          <w:tcPr>
            <w:tcW w:w="1929" w:type="dxa"/>
            <w:vMerge w:val="restart"/>
            <w:tcBorders>
              <w:top w:val="single" w:sz="12" w:space="0" w:color="auto"/>
              <w:left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N</w:t>
            </w:r>
            <w:r>
              <w:rPr>
                <w:rFonts w:eastAsia="等线"/>
                <w:lang w:eastAsia="zh-CN"/>
              </w:rPr>
              <w:t>o DRX</w:t>
            </w:r>
          </w:p>
        </w:tc>
      </w:tr>
      <w:tr w:rsidR="00067C65">
        <w:tc>
          <w:tcPr>
            <w:tcW w:w="947" w:type="dxa"/>
            <w:vMerge/>
            <w:tcBorders>
              <w:left w:val="single" w:sz="12" w:space="0" w:color="auto"/>
              <w:right w:val="single" w:sz="12" w:space="0" w:color="auto"/>
            </w:tcBorders>
          </w:tcPr>
          <w:p w:rsidR="00067C65" w:rsidRDefault="00067C65">
            <w:pPr>
              <w:pStyle w:val="TAC"/>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55</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929" w:type="dxa"/>
            <w:vMerge/>
            <w:tcBorders>
              <w:left w:val="single" w:sz="12" w:space="0" w:color="auto"/>
              <w:right w:val="single" w:sz="12" w:space="0" w:color="auto"/>
            </w:tcBorders>
          </w:tcPr>
          <w:p w:rsidR="00067C65" w:rsidRDefault="00067C65">
            <w:pPr>
              <w:pStyle w:val="TAL"/>
            </w:pPr>
          </w:p>
        </w:tc>
      </w:tr>
      <w:tr w:rsidR="00067C65">
        <w:tc>
          <w:tcPr>
            <w:tcW w:w="947" w:type="dxa"/>
            <w:vMerge/>
            <w:tcBorders>
              <w:left w:val="single" w:sz="12" w:space="0" w:color="auto"/>
              <w:bottom w:val="single" w:sz="12" w:space="0" w:color="auto"/>
              <w:right w:val="single" w:sz="12" w:space="0" w:color="auto"/>
            </w:tcBorders>
          </w:tcPr>
          <w:p w:rsidR="00067C65" w:rsidRDefault="00067C65">
            <w:pPr>
              <w:pStyle w:val="TAC"/>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90</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3 </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10 </w:t>
            </w:r>
            <w:proofErr w:type="spellStart"/>
            <w:r>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929" w:type="dxa"/>
            <w:vMerge/>
            <w:tcBorders>
              <w:left w:val="single" w:sz="12" w:space="0" w:color="auto"/>
              <w:bottom w:val="single" w:sz="12" w:space="0" w:color="auto"/>
              <w:right w:val="single" w:sz="12" w:space="0" w:color="auto"/>
            </w:tcBorders>
          </w:tcPr>
          <w:p w:rsidR="00067C65" w:rsidRDefault="00067C65">
            <w:pPr>
              <w:pStyle w:val="TAL"/>
            </w:pPr>
          </w:p>
        </w:tc>
      </w:tr>
      <w:tr w:rsidR="00067C65">
        <w:tc>
          <w:tcPr>
            <w:tcW w:w="947" w:type="dxa"/>
            <w:vMerge w:val="restart"/>
            <w:tcBorders>
              <w:top w:val="single" w:sz="12" w:space="0" w:color="auto"/>
              <w:left w:val="single" w:sz="12" w:space="0" w:color="auto"/>
              <w:right w:val="single" w:sz="12" w:space="0" w:color="auto"/>
            </w:tcBorders>
          </w:tcPr>
          <w:p w:rsidR="00067C65" w:rsidRDefault="00067C65">
            <w:pPr>
              <w:pStyle w:val="TAC"/>
              <w:rPr>
                <w:b/>
              </w:rPr>
            </w:pPr>
            <w:r>
              <w:rPr>
                <w:rFonts w:eastAsia="等线" w:hint="eastAsia"/>
                <w:b/>
                <w:lang w:eastAsia="zh-CN"/>
              </w:rPr>
              <w:t>D</w:t>
            </w:r>
            <w:r>
              <w:rPr>
                <w:rFonts w:eastAsia="等线"/>
                <w:b/>
                <w:lang w:eastAsia="zh-CN"/>
              </w:rPr>
              <w:t>RX Set 2</w:t>
            </w: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21</w:t>
            </w:r>
            <w:r>
              <w:br/>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20 </w:t>
            </w:r>
            <w:proofErr w:type="spellStart"/>
            <w:r>
              <w:t>ms</w:t>
            </w:r>
            <w:proofErr w:type="spellEnd"/>
          </w:p>
          <w:p w:rsidR="00067C65" w:rsidRDefault="00067C65">
            <w:pPr>
              <w:pStyle w:val="TAC"/>
            </w:pP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929" w:type="dxa"/>
            <w:vMerge w:val="restart"/>
            <w:tcBorders>
              <w:top w:val="single" w:sz="12" w:space="0" w:color="auto"/>
              <w:left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N</w:t>
            </w:r>
            <w:r>
              <w:rPr>
                <w:rFonts w:eastAsia="等线"/>
                <w:lang w:eastAsia="zh-CN"/>
              </w:rPr>
              <w:t xml:space="preserve">o DRX or </w:t>
            </w:r>
          </w:p>
          <w:p w:rsidR="00067C65" w:rsidRDefault="00067C65">
            <w:pPr>
              <w:pStyle w:val="TAH"/>
              <w:rPr>
                <w:rFonts w:eastAsia="等线"/>
                <w:lang w:eastAsia="zh-CN"/>
              </w:rPr>
            </w:pPr>
            <w:r>
              <w:rPr>
                <w:rFonts w:eastAsia="等线"/>
                <w:lang w:eastAsia="zh-CN"/>
              </w:rPr>
              <w:t xml:space="preserve">10ms </w:t>
            </w:r>
            <w:proofErr w:type="spellStart"/>
            <w:r>
              <w:rPr>
                <w:rFonts w:eastAsia="等线"/>
                <w:lang w:eastAsia="zh-CN"/>
              </w:rPr>
              <w:t>cyle</w:t>
            </w:r>
            <w:proofErr w:type="spellEnd"/>
            <w:r>
              <w:rPr>
                <w:rFonts w:eastAsia="等线"/>
                <w:lang w:eastAsia="zh-CN"/>
              </w:rPr>
              <w:t xml:space="preserve"> + 2ms </w:t>
            </w:r>
            <w:proofErr w:type="spellStart"/>
            <w:r>
              <w:rPr>
                <w:rFonts w:eastAsia="等线"/>
                <w:lang w:eastAsia="zh-CN"/>
              </w:rPr>
              <w:t>onDuration</w:t>
            </w:r>
            <w:proofErr w:type="spellEnd"/>
          </w:p>
          <w:p w:rsidR="00067C65" w:rsidRDefault="00067C65">
            <w:pPr>
              <w:pStyle w:val="TAL"/>
              <w:rPr>
                <w:rFonts w:eastAsia="等线"/>
                <w:lang w:eastAsia="zh-CN"/>
              </w:rPr>
            </w:pPr>
          </w:p>
        </w:tc>
      </w:tr>
      <w:tr w:rsidR="00067C65">
        <w:tc>
          <w:tcPr>
            <w:tcW w:w="947" w:type="dxa"/>
            <w:vMerge/>
            <w:tcBorders>
              <w:left w:val="single" w:sz="12" w:space="0" w:color="auto"/>
              <w:right w:val="single" w:sz="12" w:space="0" w:color="auto"/>
            </w:tcBorders>
          </w:tcPr>
          <w:p w:rsidR="00067C65" w:rsidRDefault="00067C65">
            <w:pPr>
              <w:pStyle w:val="TAC"/>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56</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6</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929" w:type="dxa"/>
            <w:vMerge/>
            <w:tcBorders>
              <w:left w:val="single" w:sz="12" w:space="0" w:color="auto"/>
              <w:right w:val="single" w:sz="12" w:space="0" w:color="auto"/>
            </w:tcBorders>
          </w:tcPr>
          <w:p w:rsidR="00067C65" w:rsidRDefault="00067C65">
            <w:pPr>
              <w:pStyle w:val="TAL"/>
            </w:pPr>
          </w:p>
        </w:tc>
      </w:tr>
      <w:tr w:rsidR="00067C65">
        <w:tc>
          <w:tcPr>
            <w:tcW w:w="947" w:type="dxa"/>
            <w:vMerge/>
            <w:tcBorders>
              <w:left w:val="single" w:sz="12" w:space="0" w:color="auto"/>
              <w:bottom w:val="single" w:sz="12" w:space="0" w:color="auto"/>
              <w:right w:val="single" w:sz="12" w:space="0" w:color="auto"/>
            </w:tcBorders>
          </w:tcPr>
          <w:p w:rsidR="00067C65" w:rsidRDefault="00067C65">
            <w:pPr>
              <w:pStyle w:val="TAC"/>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57</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929" w:type="dxa"/>
            <w:vMerge/>
            <w:tcBorders>
              <w:left w:val="single" w:sz="12" w:space="0" w:color="auto"/>
              <w:bottom w:val="single" w:sz="12" w:space="0" w:color="auto"/>
              <w:right w:val="single" w:sz="12" w:space="0" w:color="auto"/>
            </w:tcBorders>
          </w:tcPr>
          <w:p w:rsidR="00067C65" w:rsidRDefault="00067C65">
            <w:pPr>
              <w:pStyle w:val="TAL"/>
            </w:pPr>
          </w:p>
        </w:tc>
      </w:tr>
      <w:tr w:rsidR="00067C65">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D</w:t>
            </w:r>
            <w:r>
              <w:rPr>
                <w:rFonts w:eastAsia="等线"/>
                <w:lang w:eastAsia="zh-CN"/>
              </w:rPr>
              <w:t>RX Set 3</w:t>
            </w: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22</w:t>
            </w:r>
            <w:r>
              <w:br/>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4</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-2</w:t>
            </w:r>
          </w:p>
        </w:tc>
        <w:tc>
          <w:tcPr>
            <w:tcW w:w="1929" w:type="dxa"/>
            <w:tcBorders>
              <w:top w:val="single" w:sz="12" w:space="0" w:color="auto"/>
              <w:left w:val="single" w:sz="12" w:space="0" w:color="auto"/>
              <w:bottom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3</w:t>
            </w:r>
            <w:r>
              <w:rPr>
                <w:rFonts w:eastAsia="等线"/>
                <w:lang w:eastAsia="zh-CN"/>
              </w:rPr>
              <w:t xml:space="preserve">2 </w:t>
            </w:r>
            <w:proofErr w:type="spellStart"/>
            <w:r>
              <w:rPr>
                <w:rFonts w:eastAsia="等线"/>
                <w:lang w:eastAsia="zh-CN"/>
              </w:rPr>
              <w:t>ms</w:t>
            </w:r>
            <w:proofErr w:type="spellEnd"/>
            <w:r>
              <w:rPr>
                <w:rFonts w:eastAsia="等线"/>
                <w:lang w:eastAsia="zh-CN"/>
              </w:rPr>
              <w:t xml:space="preserve"> cycle + 4ms </w:t>
            </w:r>
            <w:proofErr w:type="spellStart"/>
            <w:r>
              <w:rPr>
                <w:rFonts w:eastAsia="等线"/>
                <w:lang w:eastAsia="zh-CN"/>
              </w:rPr>
              <w:t>onDuration</w:t>
            </w:r>
            <w:proofErr w:type="spellEnd"/>
          </w:p>
        </w:tc>
      </w:tr>
      <w:tr w:rsidR="00067C65">
        <w:tc>
          <w:tcPr>
            <w:tcW w:w="947" w:type="dxa"/>
            <w:vMerge w:val="restart"/>
            <w:tcBorders>
              <w:top w:val="single" w:sz="12" w:space="0" w:color="auto"/>
              <w:left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D</w:t>
            </w:r>
            <w:r>
              <w:rPr>
                <w:rFonts w:eastAsia="等线"/>
                <w:lang w:eastAsia="zh-CN"/>
              </w:rPr>
              <w:t>RX Set 5</w:t>
            </w: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23</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929" w:type="dxa"/>
            <w:vMerge w:val="restart"/>
            <w:tcBorders>
              <w:top w:val="single" w:sz="12" w:space="0" w:color="auto"/>
              <w:left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6</w:t>
            </w:r>
            <w:r>
              <w:rPr>
                <w:rFonts w:eastAsia="等线"/>
                <w:lang w:eastAsia="zh-CN"/>
              </w:rPr>
              <w:t xml:space="preserve">4ms cycle + 6ms </w:t>
            </w:r>
            <w:proofErr w:type="spellStart"/>
            <w:r>
              <w:rPr>
                <w:rFonts w:eastAsia="等线" w:hint="eastAsia"/>
                <w:lang w:eastAsia="zh-CN"/>
              </w:rPr>
              <w:t>on</w:t>
            </w:r>
            <w:r>
              <w:rPr>
                <w:rFonts w:eastAsia="等线"/>
                <w:lang w:eastAsia="zh-CN"/>
              </w:rPr>
              <w:t>Duration</w:t>
            </w:r>
            <w:proofErr w:type="spellEnd"/>
          </w:p>
        </w:tc>
      </w:tr>
      <w:tr w:rsidR="00067C65">
        <w:tc>
          <w:tcPr>
            <w:tcW w:w="947" w:type="dxa"/>
            <w:vMerge/>
            <w:tcBorders>
              <w:left w:val="single" w:sz="12" w:space="0" w:color="auto"/>
              <w:bottom w:val="single" w:sz="12" w:space="0" w:color="auto"/>
              <w:right w:val="single" w:sz="12" w:space="0" w:color="auto"/>
            </w:tcBorders>
          </w:tcPr>
          <w:p w:rsidR="00067C65" w:rsidRDefault="00067C65">
            <w:pPr>
              <w:pStyle w:val="TAH"/>
              <w:rPr>
                <w:rFonts w:eastAsia="等线"/>
                <w:lang w:eastAsia="zh-CN"/>
              </w:rPr>
            </w:pP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58</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4</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-2</w:t>
            </w:r>
          </w:p>
        </w:tc>
        <w:tc>
          <w:tcPr>
            <w:tcW w:w="1929" w:type="dxa"/>
            <w:vMerge/>
            <w:tcBorders>
              <w:left w:val="single" w:sz="12" w:space="0" w:color="auto"/>
              <w:bottom w:val="single" w:sz="12" w:space="0" w:color="auto"/>
              <w:right w:val="single" w:sz="12" w:space="0" w:color="auto"/>
            </w:tcBorders>
          </w:tcPr>
          <w:p w:rsidR="00067C65" w:rsidRDefault="00067C65">
            <w:pPr>
              <w:pStyle w:val="TAL"/>
            </w:pPr>
          </w:p>
        </w:tc>
      </w:tr>
      <w:tr w:rsidR="00067C65">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D</w:t>
            </w:r>
            <w:r>
              <w:rPr>
                <w:rFonts w:eastAsia="等线"/>
                <w:lang w:eastAsia="zh-CN"/>
              </w:rPr>
              <w:t>RX Set 5</w:t>
            </w:r>
          </w:p>
        </w:tc>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59</w:t>
            </w:r>
          </w:p>
        </w:tc>
        <w:tc>
          <w:tcPr>
            <w:tcW w:w="90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6</w:t>
            </w:r>
          </w:p>
        </w:tc>
        <w:tc>
          <w:tcPr>
            <w:tcW w:w="1031"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929" w:type="dxa"/>
            <w:tcBorders>
              <w:top w:val="single" w:sz="12" w:space="0" w:color="auto"/>
              <w:left w:val="single" w:sz="12" w:space="0" w:color="auto"/>
              <w:bottom w:val="single" w:sz="12" w:space="0" w:color="auto"/>
              <w:right w:val="single" w:sz="12" w:space="0" w:color="auto"/>
            </w:tcBorders>
          </w:tcPr>
          <w:p w:rsidR="00067C65" w:rsidRDefault="00067C65">
            <w:pPr>
              <w:pStyle w:val="TAH"/>
              <w:rPr>
                <w:rFonts w:eastAsia="等线"/>
                <w:lang w:eastAsia="zh-CN"/>
              </w:rPr>
            </w:pPr>
            <w:r>
              <w:rPr>
                <w:rFonts w:eastAsia="等线" w:hint="eastAsia"/>
                <w:lang w:eastAsia="zh-CN"/>
              </w:rPr>
              <w:t>3</w:t>
            </w:r>
            <w:r>
              <w:rPr>
                <w:rFonts w:eastAsia="等线"/>
                <w:lang w:eastAsia="zh-CN"/>
              </w:rPr>
              <w:t xml:space="preserve">20ms cycle + 10ms </w:t>
            </w:r>
            <w:proofErr w:type="spellStart"/>
            <w:r>
              <w:rPr>
                <w:rFonts w:eastAsia="等线"/>
                <w:lang w:eastAsia="zh-CN"/>
              </w:rPr>
              <w:t>onDuration</w:t>
            </w:r>
            <w:proofErr w:type="spellEnd"/>
          </w:p>
        </w:tc>
      </w:tr>
      <w:tr w:rsidR="00067C65">
        <w:tc>
          <w:tcPr>
            <w:tcW w:w="947" w:type="dxa"/>
            <w:tcBorders>
              <w:top w:val="single" w:sz="12" w:space="0" w:color="auto"/>
              <w:left w:val="single" w:sz="12" w:space="0" w:color="auto"/>
              <w:bottom w:val="single" w:sz="12" w:space="0" w:color="auto"/>
              <w:right w:val="single" w:sz="12" w:space="0" w:color="auto"/>
            </w:tcBorders>
          </w:tcPr>
          <w:p w:rsidR="00067C65" w:rsidRDefault="00067C65">
            <w:pPr>
              <w:pStyle w:val="TAN"/>
            </w:pPr>
          </w:p>
        </w:tc>
        <w:tc>
          <w:tcPr>
            <w:tcW w:w="5606" w:type="dxa"/>
            <w:gridSpan w:val="5"/>
            <w:tcBorders>
              <w:top w:val="single" w:sz="12" w:space="0" w:color="auto"/>
              <w:left w:val="single" w:sz="12" w:space="0" w:color="auto"/>
              <w:bottom w:val="single" w:sz="12" w:space="0" w:color="auto"/>
              <w:right w:val="single" w:sz="12" w:space="0" w:color="auto"/>
            </w:tcBorders>
          </w:tcPr>
          <w:p w:rsidR="00067C65" w:rsidRDefault="00067C65">
            <w:pPr>
              <w:pStyle w:val="TAN"/>
            </w:pPr>
          </w:p>
        </w:tc>
      </w:tr>
    </w:tbl>
    <w:bookmarkEnd w:id="8"/>
    <w:p w:rsidR="00067C65" w:rsidRDefault="00067C65">
      <w:pPr>
        <w:pStyle w:val="a0"/>
        <w:rPr>
          <w:rFonts w:eastAsia="等线"/>
          <w:lang w:eastAsia="zh-CN"/>
        </w:rPr>
      </w:pPr>
      <w:r>
        <w:rPr>
          <w:rFonts w:eastAsia="等线" w:hint="eastAsia"/>
          <w:lang w:eastAsia="zh-CN"/>
        </w:rPr>
        <w:t>F</w:t>
      </w:r>
      <w:r>
        <w:rPr>
          <w:rFonts w:eastAsia="等线"/>
          <w:lang w:eastAsia="zh-CN"/>
        </w:rPr>
        <w:t xml:space="preserve">or broadcast and groupcast, only standardized PQI value is supported. Hence the signaling overhead for option 3 is small. Furthermore, option 3 can be also used for managed group cases, e.g. dynamic destination L2 ID and potential dynamic QoS flow combinations. From the perspective of signaling overhead and flexibility, option 3 is better than option 1. </w:t>
      </w:r>
    </w:p>
    <w:p w:rsidR="00067C65" w:rsidRDefault="00067C65">
      <w:pPr>
        <w:pStyle w:val="a0"/>
        <w:rPr>
          <w:rFonts w:eastAsia="等线"/>
          <w:lang w:eastAsia="zh-CN"/>
        </w:rPr>
      </w:pPr>
      <w:proofErr w:type="gramStart"/>
      <w:r>
        <w:rPr>
          <w:rFonts w:eastAsia="等线"/>
          <w:lang w:eastAsia="zh-CN"/>
        </w:rPr>
        <w:t>Hence</w:t>
      </w:r>
      <w:proofErr w:type="gramEnd"/>
      <w:r>
        <w:rPr>
          <w:rFonts w:eastAsia="等线"/>
          <w:lang w:eastAsia="zh-CN"/>
        </w:rPr>
        <w:t xml:space="preserve"> we propose:</w:t>
      </w:r>
    </w:p>
    <w:p w:rsidR="00067C65" w:rsidRDefault="00067C65">
      <w:pPr>
        <w:pStyle w:val="a0"/>
        <w:rPr>
          <w:b/>
        </w:rPr>
      </w:pPr>
      <w:r>
        <w:rPr>
          <w:b/>
        </w:rPr>
        <w:t>Proposal 1: DRX parameter set should be configured per standardized PQI value/PQI values group for both broadcast and groupcast.</w:t>
      </w:r>
    </w:p>
    <w:p w:rsidR="00067C65" w:rsidRDefault="00067C65">
      <w:pPr>
        <w:pStyle w:val="a0"/>
        <w:rPr>
          <w:rFonts w:eastAsia="等线"/>
          <w:lang w:eastAsia="zh-CN"/>
        </w:rPr>
      </w:pPr>
    </w:p>
    <w:p w:rsidR="00067C65" w:rsidRDefault="00067C65" w:rsidP="005707D3">
      <w:pPr>
        <w:pStyle w:val="20"/>
        <w:keepLines/>
        <w:numPr>
          <w:ilvl w:val="1"/>
          <w:numId w:val="5"/>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lastRenderedPageBreak/>
        <w:t>DRX offset issues for groupcast and broadcast</w:t>
      </w:r>
    </w:p>
    <w:p w:rsidR="00067C65" w:rsidRDefault="00067C65">
      <w:pPr>
        <w:pStyle w:val="a0"/>
        <w:rPr>
          <w:rFonts w:eastAsia="等线"/>
          <w:lang w:val="en-GB" w:eastAsia="zh-CN"/>
        </w:rPr>
      </w:pPr>
      <w:r>
        <w:rPr>
          <w:rFonts w:eastAsia="等线" w:hint="eastAsia"/>
          <w:lang w:val="en-GB" w:eastAsia="zh-CN"/>
        </w:rPr>
        <w:t>F</w:t>
      </w:r>
      <w:r>
        <w:rPr>
          <w:rFonts w:eastAsia="等线"/>
          <w:lang w:val="en-GB" w:eastAsia="zh-CN"/>
        </w:rPr>
        <w:t xml:space="preserve">rom the perspective of RX UE power saving, active time of different groupcast and broadcast related to one UE should be aligned with each other as much as possible where the UE can wake up once for all of reception from different sources. But from the perspective of resource efficiency and collision, different groupcast and broadcast services should be transmitted in different position.  It can be left to network implementation to configure same or similar services with same DRX cycle offset and give different services with distributed DRX cycle offset. </w:t>
      </w:r>
    </w:p>
    <w:p w:rsidR="00067C65" w:rsidRDefault="00067C65">
      <w:pPr>
        <w:pStyle w:val="a0"/>
        <w:rPr>
          <w:rFonts w:eastAsia="等线"/>
          <w:lang w:val="en-GB" w:eastAsia="zh-CN"/>
        </w:rPr>
      </w:pPr>
      <w:r>
        <w:rPr>
          <w:b/>
        </w:rPr>
        <w:t>Proposal 2: DRX cycle offset can be left to network implementation, e.g. to configure with aligned values for same or similar services and distributed values for different services, to compromise between UE power saving and resource efficiency/collisions.</w:t>
      </w:r>
    </w:p>
    <w:p w:rsidR="00067C65" w:rsidRDefault="00067C65" w:rsidP="005707D3">
      <w:pPr>
        <w:pStyle w:val="20"/>
        <w:keepLines/>
        <w:numPr>
          <w:ilvl w:val="1"/>
          <w:numId w:val="5"/>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Support of SL DRX Command MAC CE for groupcast</w:t>
      </w:r>
    </w:p>
    <w:p w:rsidR="00067C65" w:rsidRPr="00071BA5" w:rsidRDefault="00067C65">
      <w:pPr>
        <w:jc w:val="both"/>
        <w:rPr>
          <w:rFonts w:eastAsia="Yu Mincho"/>
          <w:lang w:val="en-GB" w:eastAsia="ja-JP"/>
        </w:rPr>
      </w:pPr>
      <w:r>
        <w:rPr>
          <w:rFonts w:eastAsia="等线"/>
          <w:lang w:val="en-GB" w:eastAsia="zh-CN"/>
        </w:rPr>
        <w:t xml:space="preserve">Whether to support SL DRX Command MAC CE for groupcast is left as </w:t>
      </w:r>
      <w:proofErr w:type="gramStart"/>
      <w:r>
        <w:rPr>
          <w:rFonts w:eastAsia="等线"/>
          <w:lang w:val="en-GB" w:eastAsia="zh-CN"/>
        </w:rPr>
        <w:t>a</w:t>
      </w:r>
      <w:proofErr w:type="gramEnd"/>
      <w:r>
        <w:rPr>
          <w:rFonts w:eastAsia="等线"/>
          <w:lang w:val="en-GB" w:eastAsia="zh-CN"/>
        </w:rPr>
        <w:t xml:space="preserve"> FFS issue from the last RAN2 meeting. In groupcast scenario, any group member can be TX UE or RX UE, </w:t>
      </w:r>
      <w:r w:rsidR="009B1B01">
        <w:rPr>
          <w:rFonts w:eastAsia="等线"/>
          <w:lang w:val="en-GB" w:eastAsia="zh-CN"/>
        </w:rPr>
        <w:t xml:space="preserve">and thus, </w:t>
      </w:r>
      <w:r>
        <w:rPr>
          <w:rFonts w:eastAsia="等线"/>
          <w:lang w:val="en-GB" w:eastAsia="zh-CN"/>
        </w:rPr>
        <w:t xml:space="preserve">the usage of SL DRX Command MAC CE among </w:t>
      </w:r>
      <w:r>
        <w:rPr>
          <w:rFonts w:eastAsia="等线" w:hint="eastAsia"/>
          <w:lang w:eastAsia="zh-CN"/>
        </w:rPr>
        <w:t xml:space="preserve">a </w:t>
      </w:r>
      <w:r>
        <w:rPr>
          <w:rFonts w:eastAsia="等线"/>
          <w:lang w:val="en-GB" w:eastAsia="zh-CN"/>
        </w:rPr>
        <w:t xml:space="preserve">group </w:t>
      </w:r>
      <w:r>
        <w:rPr>
          <w:rFonts w:eastAsia="等线" w:hint="eastAsia"/>
          <w:lang w:eastAsia="zh-CN"/>
        </w:rPr>
        <w:t xml:space="preserve">of UEs </w:t>
      </w:r>
      <w:r>
        <w:rPr>
          <w:rFonts w:eastAsia="等线"/>
          <w:lang w:val="en-GB" w:eastAsia="zh-CN"/>
        </w:rPr>
        <w:t xml:space="preserve">is not that efficient in most of the time and may cause much signalling overhead. Moreover, the group leader and member </w:t>
      </w:r>
      <w:r w:rsidR="009B1B01">
        <w:rPr>
          <w:rFonts w:eastAsia="等线"/>
          <w:lang w:val="en-GB" w:eastAsia="zh-CN"/>
        </w:rPr>
        <w:t xml:space="preserve">managed </w:t>
      </w:r>
      <w:r>
        <w:rPr>
          <w:rFonts w:eastAsia="等线"/>
          <w:lang w:val="en-GB" w:eastAsia="zh-CN"/>
        </w:rPr>
        <w:t xml:space="preserve">in application layer </w:t>
      </w:r>
      <w:r w:rsidR="009B1B01">
        <w:rPr>
          <w:rFonts w:eastAsia="等线"/>
          <w:lang w:val="en-GB" w:eastAsia="zh-CN"/>
        </w:rPr>
        <w:t>don’t</w:t>
      </w:r>
      <w:r>
        <w:rPr>
          <w:rFonts w:eastAsia="等线"/>
          <w:lang w:val="en-GB" w:eastAsia="zh-CN"/>
        </w:rPr>
        <w:t xml:space="preserve"> necessarily mean the sender or receiver of the SL DRX Command MAC CE. Who </w:t>
      </w:r>
      <w:r w:rsidR="009B1B01">
        <w:rPr>
          <w:rFonts w:eastAsia="等线"/>
          <w:lang w:val="en-GB" w:eastAsia="zh-CN"/>
        </w:rPr>
        <w:t xml:space="preserve">is </w:t>
      </w:r>
      <w:r>
        <w:rPr>
          <w:rFonts w:eastAsia="等线"/>
          <w:lang w:val="en-GB" w:eastAsia="zh-CN"/>
        </w:rPr>
        <w:t>send</w:t>
      </w:r>
      <w:r w:rsidR="009B1B01">
        <w:rPr>
          <w:rFonts w:eastAsia="等线"/>
          <w:lang w:val="en-GB" w:eastAsia="zh-CN"/>
        </w:rPr>
        <w:t>ing</w:t>
      </w:r>
      <w:r>
        <w:rPr>
          <w:rFonts w:eastAsia="等线"/>
          <w:lang w:val="en-GB" w:eastAsia="zh-CN"/>
        </w:rPr>
        <w:t xml:space="preserve"> or receiv</w:t>
      </w:r>
      <w:r w:rsidR="009B1B01">
        <w:rPr>
          <w:rFonts w:eastAsia="等线"/>
          <w:lang w:val="en-GB" w:eastAsia="zh-CN"/>
        </w:rPr>
        <w:t>ing</w:t>
      </w:r>
      <w:r>
        <w:rPr>
          <w:rFonts w:eastAsia="等线"/>
          <w:lang w:val="en-GB" w:eastAsia="zh-CN"/>
        </w:rPr>
        <w:t xml:space="preserve"> the SL DRX Command MAC CE </w:t>
      </w:r>
      <w:r w:rsidR="009B1B01">
        <w:rPr>
          <w:rFonts w:eastAsia="等线"/>
          <w:lang w:val="en-GB" w:eastAsia="zh-CN"/>
        </w:rPr>
        <w:t xml:space="preserve">in groupcast could be </w:t>
      </w:r>
      <w:r>
        <w:rPr>
          <w:rFonts w:eastAsia="等线" w:hint="eastAsia"/>
          <w:lang w:eastAsia="zh-CN"/>
        </w:rPr>
        <w:t xml:space="preserve">a </w:t>
      </w:r>
      <w:r w:rsidR="009B1B01">
        <w:rPr>
          <w:rFonts w:eastAsia="等线"/>
          <w:lang w:eastAsia="zh-CN"/>
        </w:rPr>
        <w:t xml:space="preserve">much </w:t>
      </w:r>
      <w:r>
        <w:rPr>
          <w:rFonts w:eastAsia="等线" w:hint="eastAsia"/>
          <w:lang w:eastAsia="zh-CN"/>
        </w:rPr>
        <w:t>more complex</w:t>
      </w:r>
      <w:r>
        <w:rPr>
          <w:rFonts w:eastAsia="等线"/>
          <w:lang w:val="en-GB" w:eastAsia="zh-CN"/>
        </w:rPr>
        <w:t xml:space="preserve"> </w:t>
      </w:r>
      <w:r>
        <w:rPr>
          <w:rFonts w:eastAsia="等线" w:hint="eastAsia"/>
          <w:lang w:eastAsia="zh-CN"/>
        </w:rPr>
        <w:t xml:space="preserve">issue than </w:t>
      </w:r>
      <w:r w:rsidR="009B1B01">
        <w:rPr>
          <w:rFonts w:eastAsia="等线"/>
          <w:lang w:eastAsia="zh-CN"/>
        </w:rPr>
        <w:t xml:space="preserve">in </w:t>
      </w:r>
      <w:r>
        <w:rPr>
          <w:rFonts w:eastAsia="等线" w:hint="eastAsia"/>
          <w:lang w:eastAsia="zh-CN"/>
        </w:rPr>
        <w:t xml:space="preserve">unicast </w:t>
      </w:r>
      <w:r>
        <w:rPr>
          <w:rFonts w:eastAsia="等线"/>
          <w:lang w:val="en-GB" w:eastAsia="zh-CN"/>
        </w:rPr>
        <w:t xml:space="preserve">scenario. </w:t>
      </w:r>
      <w:r w:rsidR="00BB72A8">
        <w:rPr>
          <w:rFonts w:eastAsia="等线"/>
          <w:lang w:val="en-GB" w:eastAsia="zh-CN"/>
        </w:rPr>
        <w:t>From overall viewpoint, w</w:t>
      </w:r>
      <w:r w:rsidR="00621368">
        <w:rPr>
          <w:rFonts w:eastAsia="等线"/>
          <w:lang w:val="en-GB" w:eastAsia="zh-CN"/>
        </w:rPr>
        <w:t>e don’t see any necessity and benefit in using SL DRX command MAC CE for groupcast.</w:t>
      </w:r>
      <w:r w:rsidR="00BB72A8" w:rsidRPr="00067C65">
        <w:rPr>
          <w:rFonts w:eastAsia="Yu Mincho" w:hint="eastAsia"/>
          <w:lang w:val="en-GB" w:eastAsia="ja-JP"/>
        </w:rPr>
        <w:t xml:space="preserve"> </w:t>
      </w:r>
      <w:r>
        <w:rPr>
          <w:rFonts w:eastAsia="等线"/>
          <w:lang w:val="en-GB" w:eastAsia="zh-CN"/>
        </w:rPr>
        <w:t>Therefore, we suggest not to support SL DRX Command MAC CE for groupcast.</w:t>
      </w:r>
    </w:p>
    <w:p w:rsidR="00067C65" w:rsidRPr="00071BA5" w:rsidRDefault="00067C65" w:rsidP="00071BA5">
      <w:pPr>
        <w:pStyle w:val="a0"/>
        <w:rPr>
          <w:b/>
        </w:rPr>
      </w:pPr>
      <w:r w:rsidRPr="00071BA5">
        <w:rPr>
          <w:b/>
        </w:rPr>
        <w:t>Proposal 3</w:t>
      </w:r>
      <w:r w:rsidR="00071BA5">
        <w:rPr>
          <w:b/>
        </w:rPr>
        <w:t xml:space="preserve">: </w:t>
      </w:r>
      <w:r w:rsidRPr="00071BA5">
        <w:rPr>
          <w:b/>
        </w:rPr>
        <w:t xml:space="preserve"> SL DRX Command MAC CE for groupcast is NOT supported. </w:t>
      </w:r>
    </w:p>
    <w:p w:rsidR="00067C65" w:rsidRDefault="00067C6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rsidR="00067C65" w:rsidRDefault="00067C65">
      <w:pPr>
        <w:pStyle w:val="a0"/>
        <w:rPr>
          <w:rFonts w:eastAsia="宋体"/>
          <w:szCs w:val="20"/>
          <w:lang w:eastAsia="zh-CN"/>
        </w:rPr>
      </w:pPr>
      <w:r>
        <w:rPr>
          <w:rFonts w:eastAsia="宋体"/>
          <w:szCs w:val="20"/>
          <w:lang w:eastAsia="zh-CN"/>
        </w:rPr>
        <w:t>In this contribution, we give analysis and solutions on SL DRX for broadcast and groupcast. Based on the discussion, we have the following proposals:</w:t>
      </w:r>
    </w:p>
    <w:p w:rsidR="00A35DA4" w:rsidRDefault="00A35DA4" w:rsidP="00A35DA4">
      <w:pPr>
        <w:pStyle w:val="a0"/>
        <w:rPr>
          <w:b/>
        </w:rPr>
      </w:pPr>
      <w:r>
        <w:rPr>
          <w:b/>
        </w:rPr>
        <w:t>Proposal 1: DRX parameter set should be configured per standardized PQI value/PQI values group for both broadcast and groupcast.</w:t>
      </w:r>
    </w:p>
    <w:p w:rsidR="00A35DA4" w:rsidRDefault="00A35DA4" w:rsidP="00A35DA4">
      <w:pPr>
        <w:pStyle w:val="a0"/>
        <w:rPr>
          <w:rFonts w:eastAsia="等线"/>
          <w:lang w:val="en-GB" w:eastAsia="zh-CN"/>
        </w:rPr>
      </w:pPr>
      <w:r>
        <w:rPr>
          <w:b/>
        </w:rPr>
        <w:t>Proposal 2: DRX cycle offset can be left to network implementation, e.g. to configure with aligned values for same or similar services and distributed values for different services, to compromise between UE power saving and resource efficiency/collisions.</w:t>
      </w:r>
    </w:p>
    <w:p w:rsidR="00A35DA4" w:rsidRPr="005707D3" w:rsidRDefault="00A35DA4">
      <w:pPr>
        <w:pStyle w:val="a0"/>
        <w:rPr>
          <w:rFonts w:hint="eastAsia"/>
          <w:b/>
        </w:rPr>
      </w:pPr>
      <w:r w:rsidRPr="00071BA5">
        <w:rPr>
          <w:b/>
        </w:rPr>
        <w:t>Proposal 3</w:t>
      </w:r>
      <w:r>
        <w:rPr>
          <w:b/>
        </w:rPr>
        <w:t xml:space="preserve">: </w:t>
      </w:r>
      <w:r w:rsidRPr="00071BA5">
        <w:rPr>
          <w:b/>
        </w:rPr>
        <w:t xml:space="preserve"> SL DRX Command MAC CE for groupcast is NOT supported. </w:t>
      </w:r>
    </w:p>
    <w:bookmarkEnd w:id="5"/>
    <w:bookmarkEnd w:id="6"/>
    <w:p w:rsidR="00067C65" w:rsidRDefault="00067C6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067C65" w:rsidRDefault="00067C65">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 xml:space="preserve">RP-201516, WID revision: NR </w:t>
      </w:r>
      <w:proofErr w:type="spellStart"/>
      <w:r>
        <w:rPr>
          <w:rFonts w:eastAsia="宋体"/>
          <w:color w:val="000000"/>
          <w:lang w:eastAsia="zh-CN"/>
        </w:rPr>
        <w:t>sidelink</w:t>
      </w:r>
      <w:proofErr w:type="spellEnd"/>
      <w:r>
        <w:rPr>
          <w:rFonts w:eastAsia="宋体"/>
          <w:color w:val="000000"/>
          <w:lang w:eastAsia="zh-CN"/>
        </w:rPr>
        <w:t xml:space="preserve"> enhancement, RAN#89e, LG;</w:t>
      </w:r>
    </w:p>
    <w:p w:rsidR="00067C65" w:rsidRDefault="00067C65">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AN2#113e, chairman minutes.</w:t>
      </w:r>
    </w:p>
    <w:p w:rsidR="00067C65" w:rsidRDefault="00067C65">
      <w:pPr>
        <w:pStyle w:val="a0"/>
        <w:snapToGrid w:val="0"/>
        <w:spacing w:line="268" w:lineRule="auto"/>
        <w:contextualSpacing/>
        <w:rPr>
          <w:rFonts w:eastAsia="宋体" w:hint="eastAsia"/>
          <w:color w:val="000000"/>
          <w:lang w:eastAsia="zh-CN"/>
        </w:rPr>
      </w:pPr>
    </w:p>
    <w:p w:rsidR="00067C65" w:rsidRDefault="00067C6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hint="eastAsia"/>
          <w:sz w:val="36"/>
          <w:szCs w:val="20"/>
          <w:lang w:eastAsia="zh-CN"/>
        </w:rPr>
        <w:t>Appendix</w:t>
      </w:r>
    </w:p>
    <w:p w:rsidR="00067C65" w:rsidRDefault="00067C65">
      <w:pPr>
        <w:pStyle w:val="a0"/>
        <w:snapToGrid w:val="0"/>
        <w:spacing w:line="268" w:lineRule="auto"/>
        <w:contextualSpacing/>
        <w:rPr>
          <w:rFonts w:eastAsia="宋体"/>
          <w:color w:val="000000"/>
          <w:lang w:eastAsia="zh-CN"/>
        </w:rPr>
      </w:pPr>
      <w:r>
        <w:rPr>
          <w:rFonts w:eastAsia="宋体"/>
          <w:color w:val="000000"/>
          <w:lang w:eastAsia="zh-CN"/>
        </w:rPr>
        <w:t>TS23.287</w:t>
      </w:r>
    </w:p>
    <w:p w:rsidR="00067C65" w:rsidRDefault="00067C65">
      <w:pPr>
        <w:pStyle w:val="3"/>
      </w:pPr>
      <w:bookmarkStart w:id="9" w:name="_Toc19199107"/>
      <w:bookmarkStart w:id="10" w:name="_Toc27821897"/>
      <w:bookmarkStart w:id="11" w:name="_Toc36126251"/>
      <w:bookmarkStart w:id="12" w:name="_Toc45012575"/>
      <w:r>
        <w:t>5.4.4</w:t>
      </w:r>
      <w:r>
        <w:tab/>
        <w:t>Standardized PQI to QoS characteristics mapping</w:t>
      </w:r>
      <w:bookmarkEnd w:id="9"/>
      <w:bookmarkEnd w:id="10"/>
      <w:bookmarkEnd w:id="11"/>
      <w:bookmarkEnd w:id="12"/>
    </w:p>
    <w:p w:rsidR="00067C65" w:rsidRDefault="00067C65">
      <w:r>
        <w:t>The one-to-one mapping of standardized PQI values to PC5 QoS characteristics is specified in table 5.4.4-1.</w:t>
      </w:r>
    </w:p>
    <w:p w:rsidR="00067C65" w:rsidRDefault="00067C65">
      <w:pPr>
        <w:pStyle w:val="TH"/>
      </w:pPr>
      <w:r>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1053"/>
        <w:gridCol w:w="895"/>
        <w:gridCol w:w="1006"/>
        <w:gridCol w:w="797"/>
        <w:gridCol w:w="1233"/>
        <w:gridCol w:w="1483"/>
        <w:gridCol w:w="1834"/>
      </w:tblGrid>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PQI</w:t>
            </w:r>
          </w:p>
          <w:p w:rsidR="00067C65" w:rsidRDefault="00067C65">
            <w:pPr>
              <w:pStyle w:val="TAH"/>
            </w:pPr>
            <w:r>
              <w:t>Value</w:t>
            </w:r>
          </w:p>
        </w:tc>
        <w:tc>
          <w:tcPr>
            <w:tcW w:w="1060" w:type="dxa"/>
            <w:tcBorders>
              <w:top w:val="single" w:sz="12" w:space="0" w:color="auto"/>
              <w:left w:val="single" w:sz="12" w:space="0" w:color="auto"/>
              <w:bottom w:val="single" w:sz="12" w:space="0" w:color="auto"/>
              <w:right w:val="single" w:sz="12" w:space="0" w:color="auto"/>
            </w:tcBorders>
          </w:tcPr>
          <w:p w:rsidR="00067C65" w:rsidRDefault="00067C65">
            <w:pPr>
              <w:pStyle w:val="TAH"/>
            </w:pPr>
            <w:r>
              <w:t>Resource Type</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H"/>
            </w:pPr>
            <w:r>
              <w:t>Default Priority Level</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Packet Delay Budget</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H"/>
            </w:pPr>
            <w:r>
              <w:t>Packet Error</w:t>
            </w:r>
          </w:p>
          <w:p w:rsidR="00067C65" w:rsidRDefault="00067C65">
            <w:pPr>
              <w:pStyle w:val="TAH"/>
            </w:pPr>
            <w:r>
              <w:t xml:space="preserve">Rate </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H"/>
            </w:pPr>
            <w:r>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H"/>
            </w:pPr>
            <w:r>
              <w:t>Default</w:t>
            </w:r>
          </w:p>
          <w:p w:rsidR="00067C65" w:rsidRDefault="00067C65">
            <w:pPr>
              <w:pStyle w:val="TAH"/>
            </w:pPr>
            <w:r>
              <w:t>Averaging Window</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H"/>
            </w:pPr>
            <w:r>
              <w:t>Example Services</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21</w:t>
            </w:r>
            <w:r>
              <w:br/>
            </w:r>
          </w:p>
        </w:tc>
        <w:tc>
          <w:tcPr>
            <w:tcW w:w="1060" w:type="dxa"/>
            <w:tcBorders>
              <w:top w:val="single" w:sz="12" w:space="0" w:color="auto"/>
              <w:left w:val="single" w:sz="12" w:space="0" w:color="auto"/>
              <w:bottom w:val="nil"/>
              <w:right w:val="single" w:sz="12" w:space="0" w:color="auto"/>
            </w:tcBorders>
          </w:tcPr>
          <w:p w:rsidR="00067C65" w:rsidRDefault="00067C65">
            <w:pPr>
              <w:pStyle w:val="TAC"/>
            </w:pPr>
            <w:r>
              <w:br/>
              <w:t>GBR</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20 </w:t>
            </w:r>
            <w:proofErr w:type="spellStart"/>
            <w:r>
              <w:t>ms</w:t>
            </w:r>
            <w:proofErr w:type="spellEnd"/>
          </w:p>
          <w:p w:rsidR="00067C65" w:rsidRDefault="00067C65">
            <w:pPr>
              <w:pStyle w:val="TAC"/>
            </w:pP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Platooning between UEs – Higher degree of automation;</w:t>
            </w:r>
          </w:p>
          <w:p w:rsidR="00067C65" w:rsidRDefault="00067C65">
            <w:pPr>
              <w:pStyle w:val="TAL"/>
            </w:pPr>
            <w:r>
              <w:t>Platooning between UE and RSU – Higher degree of automation</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22</w:t>
            </w:r>
            <w:r>
              <w:br/>
            </w:r>
          </w:p>
        </w:tc>
        <w:tc>
          <w:tcPr>
            <w:tcW w:w="1060" w:type="dxa"/>
            <w:tcBorders>
              <w:top w:val="nil"/>
              <w:left w:val="single" w:sz="12" w:space="0" w:color="auto"/>
              <w:bottom w:val="nil"/>
              <w:right w:val="single" w:sz="12" w:space="0" w:color="auto"/>
            </w:tcBorders>
          </w:tcPr>
          <w:p w:rsidR="00067C65" w:rsidRDefault="00067C65">
            <w:pPr>
              <w:pStyle w:val="TAC"/>
            </w:pPr>
            <w:r>
              <w:t>(NOTE 1)</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4</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Sensor sharing – higher degree of automation </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23</w:t>
            </w:r>
          </w:p>
        </w:tc>
        <w:tc>
          <w:tcPr>
            <w:tcW w:w="1060" w:type="dxa"/>
            <w:tcBorders>
              <w:top w:val="nil"/>
              <w:left w:val="single" w:sz="12" w:space="0" w:color="auto"/>
              <w:bottom w:val="nil"/>
              <w:right w:val="single" w:sz="12" w:space="0" w:color="auto"/>
            </w:tcBorders>
          </w:tcPr>
          <w:p w:rsidR="00067C65" w:rsidRDefault="00067C65">
            <w:pPr>
              <w:pStyle w:val="TAC"/>
            </w:pP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Information sharing for automated driving – between UEs or UE and RSU - higher degree of automation</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55</w:t>
            </w:r>
          </w:p>
        </w:tc>
        <w:tc>
          <w:tcPr>
            <w:tcW w:w="1060" w:type="dxa"/>
            <w:tcBorders>
              <w:top w:val="single" w:sz="12" w:space="0" w:color="auto"/>
              <w:left w:val="single" w:sz="12" w:space="0" w:color="auto"/>
              <w:bottom w:val="nil"/>
              <w:right w:val="single" w:sz="12" w:space="0" w:color="auto"/>
            </w:tcBorders>
          </w:tcPr>
          <w:p w:rsidR="00067C65" w:rsidRDefault="00067C65">
            <w:pPr>
              <w:pStyle w:val="TAC"/>
            </w:pPr>
            <w:r>
              <w:t>Non-GBR</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3</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Cooperative lane change – higher degree of automation</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56</w:t>
            </w:r>
          </w:p>
        </w:tc>
        <w:tc>
          <w:tcPr>
            <w:tcW w:w="1060" w:type="dxa"/>
            <w:tcBorders>
              <w:top w:val="nil"/>
              <w:left w:val="single" w:sz="12" w:space="0" w:color="auto"/>
              <w:bottom w:val="nil"/>
              <w:right w:val="single" w:sz="12" w:space="0" w:color="auto"/>
            </w:tcBorders>
          </w:tcPr>
          <w:p w:rsidR="00067C65" w:rsidRDefault="00067C65">
            <w:pPr>
              <w:pStyle w:val="TAC"/>
            </w:pP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6</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Platooning informative exchange – low degree of automation;</w:t>
            </w:r>
          </w:p>
          <w:p w:rsidR="00067C65" w:rsidRDefault="00067C65">
            <w:pPr>
              <w:pStyle w:val="TAL"/>
            </w:pPr>
            <w:r>
              <w:t xml:space="preserve">Platooning – information sharing with RSU </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57</w:t>
            </w:r>
          </w:p>
        </w:tc>
        <w:tc>
          <w:tcPr>
            <w:tcW w:w="1060" w:type="dxa"/>
            <w:tcBorders>
              <w:top w:val="nil"/>
              <w:left w:val="single" w:sz="12" w:space="0" w:color="auto"/>
              <w:bottom w:val="nil"/>
              <w:right w:val="single" w:sz="12" w:space="0" w:color="auto"/>
            </w:tcBorders>
          </w:tcPr>
          <w:p w:rsidR="00067C65" w:rsidRDefault="00067C65">
            <w:pPr>
              <w:pStyle w:val="TAC"/>
            </w:pP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Cooperative lane change – lower degree of automation </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58</w:t>
            </w:r>
          </w:p>
        </w:tc>
        <w:tc>
          <w:tcPr>
            <w:tcW w:w="1060" w:type="dxa"/>
            <w:tcBorders>
              <w:top w:val="nil"/>
              <w:left w:val="single" w:sz="12" w:space="0" w:color="auto"/>
              <w:bottom w:val="nil"/>
              <w:right w:val="single" w:sz="12" w:space="0" w:color="auto"/>
            </w:tcBorders>
          </w:tcPr>
          <w:p w:rsidR="00067C65" w:rsidRDefault="00067C65">
            <w:pPr>
              <w:pStyle w:val="TAC"/>
            </w:pP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4</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Sensor information sharing – lower degree of automation</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59</w:t>
            </w:r>
          </w:p>
        </w:tc>
        <w:tc>
          <w:tcPr>
            <w:tcW w:w="1060" w:type="dxa"/>
            <w:tcBorders>
              <w:top w:val="nil"/>
              <w:left w:val="single" w:sz="12" w:space="0" w:color="auto"/>
              <w:bottom w:val="nil"/>
              <w:right w:val="single" w:sz="12" w:space="0" w:color="auto"/>
            </w:tcBorders>
          </w:tcPr>
          <w:p w:rsidR="00067C65" w:rsidRDefault="00067C65">
            <w:pPr>
              <w:pStyle w:val="TAC"/>
            </w:pP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6</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Platooning – reporting to an RSU</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90</w:t>
            </w:r>
          </w:p>
        </w:tc>
        <w:tc>
          <w:tcPr>
            <w:tcW w:w="1060" w:type="dxa"/>
            <w:tcBorders>
              <w:top w:val="single" w:sz="12" w:space="0" w:color="auto"/>
              <w:left w:val="single" w:sz="12" w:space="0" w:color="auto"/>
              <w:bottom w:val="nil"/>
              <w:right w:val="single" w:sz="12" w:space="0" w:color="auto"/>
            </w:tcBorders>
          </w:tcPr>
          <w:p w:rsidR="00067C65" w:rsidRDefault="00067C65">
            <w:pPr>
              <w:pStyle w:val="TAC"/>
            </w:pPr>
            <w:r>
              <w:t>Delay Critical GBR</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10 </w:t>
            </w:r>
            <w:proofErr w:type="spellStart"/>
            <w:r>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2000 bytes</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Cooperative collision avoidance;</w:t>
            </w:r>
          </w:p>
          <w:p w:rsidR="00067C65" w:rsidRDefault="00067C65">
            <w:pPr>
              <w:pStyle w:val="TAL"/>
            </w:pPr>
            <w:r>
              <w:t>Sensor sharing – Higher degree of automation;</w:t>
            </w:r>
          </w:p>
          <w:p w:rsidR="00067C65" w:rsidRDefault="00067C65">
            <w:pPr>
              <w:pStyle w:val="TAL"/>
            </w:pPr>
            <w:r>
              <w:t>Video sharing – higher degree of automation</w:t>
            </w:r>
          </w:p>
        </w:tc>
      </w:tr>
      <w:tr w:rsidR="00067C65">
        <w:tc>
          <w:tcPr>
            <w:tcW w:w="1022" w:type="dxa"/>
            <w:tcBorders>
              <w:top w:val="single" w:sz="12" w:space="0" w:color="auto"/>
              <w:left w:val="single" w:sz="12" w:space="0" w:color="auto"/>
              <w:bottom w:val="single" w:sz="12" w:space="0" w:color="auto"/>
              <w:right w:val="single" w:sz="12" w:space="0" w:color="auto"/>
            </w:tcBorders>
          </w:tcPr>
          <w:p w:rsidR="00067C65" w:rsidRDefault="00067C65">
            <w:pPr>
              <w:pStyle w:val="TAC"/>
            </w:pPr>
            <w:r>
              <w:t>91</w:t>
            </w:r>
          </w:p>
        </w:tc>
        <w:tc>
          <w:tcPr>
            <w:tcW w:w="1060" w:type="dxa"/>
            <w:tcBorders>
              <w:top w:val="nil"/>
              <w:left w:val="single" w:sz="12" w:space="0" w:color="auto"/>
              <w:bottom w:val="nil"/>
              <w:right w:val="single" w:sz="12" w:space="0" w:color="auto"/>
            </w:tcBorders>
          </w:tcPr>
          <w:p w:rsidR="00067C65" w:rsidRDefault="00067C65">
            <w:pPr>
              <w:pStyle w:val="TAC"/>
            </w:pPr>
            <w:r>
              <w:t>(NOTE 1)</w:t>
            </w:r>
          </w:p>
        </w:tc>
        <w:tc>
          <w:tcPr>
            <w:tcW w:w="91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2</w:t>
            </w:r>
          </w:p>
        </w:tc>
        <w:tc>
          <w:tcPr>
            <w:tcW w:w="1088" w:type="dxa"/>
            <w:tcBorders>
              <w:top w:val="single" w:sz="12" w:space="0" w:color="auto"/>
              <w:left w:val="single" w:sz="12" w:space="0" w:color="auto"/>
              <w:bottom w:val="single" w:sz="12" w:space="0" w:color="auto"/>
              <w:right w:val="single" w:sz="12" w:space="0" w:color="auto"/>
            </w:tcBorders>
          </w:tcPr>
          <w:p w:rsidR="00067C65" w:rsidRDefault="00067C65">
            <w:pPr>
              <w:pStyle w:val="TAC"/>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067C65" w:rsidRDefault="00067C65">
            <w:pPr>
              <w:pStyle w:val="TAC"/>
            </w:pPr>
            <w:r>
              <w:t>10</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067C65" w:rsidRDefault="00067C65">
            <w:pPr>
              <w:pStyle w:val="TAL"/>
            </w:pPr>
            <w:r>
              <w:t>2000 bytes</w:t>
            </w:r>
          </w:p>
        </w:tc>
        <w:tc>
          <w:tcPr>
            <w:tcW w:w="1669" w:type="dxa"/>
            <w:tcBorders>
              <w:top w:val="single" w:sz="12" w:space="0" w:color="auto"/>
              <w:left w:val="single" w:sz="12" w:space="0" w:color="auto"/>
              <w:bottom w:val="single" w:sz="12" w:space="0" w:color="auto"/>
              <w:right w:val="single" w:sz="12" w:space="0" w:color="auto"/>
            </w:tcBorders>
          </w:tcPr>
          <w:p w:rsidR="00067C65" w:rsidRDefault="00067C65">
            <w:pPr>
              <w:pStyle w:val="TAL"/>
            </w:pPr>
            <w:r>
              <w:t xml:space="preserve">2000 </w:t>
            </w:r>
            <w:proofErr w:type="spellStart"/>
            <w:r>
              <w:t>ms</w:t>
            </w:r>
            <w:proofErr w:type="spellEnd"/>
          </w:p>
        </w:tc>
        <w:tc>
          <w:tcPr>
            <w:tcW w:w="2146" w:type="dxa"/>
            <w:tcBorders>
              <w:top w:val="single" w:sz="12" w:space="0" w:color="auto"/>
              <w:left w:val="single" w:sz="12" w:space="0" w:color="auto"/>
              <w:bottom w:val="single" w:sz="12" w:space="0" w:color="auto"/>
              <w:right w:val="single" w:sz="12" w:space="0" w:color="auto"/>
            </w:tcBorders>
          </w:tcPr>
          <w:p w:rsidR="00067C65" w:rsidRDefault="00067C65">
            <w:pPr>
              <w:pStyle w:val="TAL"/>
            </w:pPr>
            <w:r>
              <w:t>Emergency trajectory alignment;</w:t>
            </w:r>
          </w:p>
          <w:p w:rsidR="00067C65" w:rsidRDefault="00067C65">
            <w:pPr>
              <w:pStyle w:val="TAL"/>
            </w:pPr>
            <w:r>
              <w:t>Sensor sharing – Higher degree of automation</w:t>
            </w:r>
          </w:p>
        </w:tc>
      </w:tr>
      <w:tr w:rsidR="00067C65">
        <w:tc>
          <w:tcPr>
            <w:tcW w:w="10023" w:type="dxa"/>
            <w:gridSpan w:val="8"/>
            <w:tcBorders>
              <w:top w:val="single" w:sz="12" w:space="0" w:color="auto"/>
              <w:left w:val="single" w:sz="12" w:space="0" w:color="auto"/>
              <w:bottom w:val="single" w:sz="12" w:space="0" w:color="auto"/>
              <w:right w:val="single" w:sz="12" w:space="0" w:color="auto"/>
            </w:tcBorders>
          </w:tcPr>
          <w:p w:rsidR="00067C65" w:rsidRDefault="00067C65">
            <w:pPr>
              <w:pStyle w:val="TAN"/>
            </w:pPr>
            <w:r>
              <w:t>NOTE 1:</w:t>
            </w:r>
            <w:r>
              <w:tab/>
              <w:t>GBR and Delay Critical GBR PQIs can only be used for unicast PC5 communications.</w:t>
            </w:r>
          </w:p>
        </w:tc>
      </w:tr>
    </w:tbl>
    <w:p w:rsidR="00067C65" w:rsidRDefault="00067C65">
      <w:pPr>
        <w:pStyle w:val="FP"/>
      </w:pPr>
    </w:p>
    <w:p w:rsidR="00067C65" w:rsidRDefault="00067C65">
      <w:pPr>
        <w:pStyle w:val="NO"/>
      </w:pPr>
      <w:r>
        <w:t>NOTE 1:</w:t>
      </w:r>
      <w:r>
        <w:tab/>
        <w:t>For Standardized PQI to QoS characteristics mapping, the table will be extended/updated to support service requirements for other identified V2X services.</w:t>
      </w:r>
    </w:p>
    <w:p w:rsidR="00067C65" w:rsidRDefault="00067C65">
      <w:pPr>
        <w:pStyle w:val="NO"/>
      </w:pPr>
      <w:r>
        <w:lastRenderedPageBreak/>
        <w:t>NOTE 2:</w:t>
      </w:r>
      <w:r>
        <w:tab/>
        <w:t>The PQIs may be used for other services than V2X.</w:t>
      </w:r>
    </w:p>
    <w:p w:rsidR="00067C65" w:rsidRDefault="00067C65">
      <w:pPr>
        <w:pStyle w:val="NO"/>
      </w:pPr>
      <w:r>
        <w:t>NOTE 3:</w:t>
      </w:r>
      <w:r>
        <w:tab/>
        <w:t>A PQI may be used together with an application indicated priority, which overrides the Default Priority Level of the PQI.</w:t>
      </w:r>
    </w:p>
    <w:p w:rsidR="00067C65" w:rsidRDefault="00067C65">
      <w:pPr>
        <w:pStyle w:val="a0"/>
        <w:snapToGrid w:val="0"/>
        <w:spacing w:line="268" w:lineRule="auto"/>
        <w:contextualSpacing/>
        <w:rPr>
          <w:rFonts w:eastAsia="宋体"/>
          <w:color w:val="000000"/>
          <w:lang w:val="en-GB" w:eastAsia="zh-CN"/>
        </w:rPr>
      </w:pPr>
    </w:p>
    <w:sectPr w:rsidR="00067C65">
      <w:headerReference w:type="default" r:id="rId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26D" w:rsidRDefault="0067726D">
      <w:r>
        <w:separator/>
      </w:r>
    </w:p>
  </w:endnote>
  <w:endnote w:type="continuationSeparator" w:id="0">
    <w:p w:rsidR="0067726D" w:rsidRDefault="0067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26D" w:rsidRDefault="0067726D">
      <w:r>
        <w:separator/>
      </w:r>
    </w:p>
  </w:footnote>
  <w:footnote w:type="continuationSeparator" w:id="0">
    <w:p w:rsidR="0067726D" w:rsidRDefault="00677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C65" w:rsidRDefault="00067C65">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4C3AAD"/>
    <w:multiLevelType w:val="multilevel"/>
    <w:tmpl w:val="544C3AAD"/>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
  </w:num>
  <w:num w:numId="2">
    <w:abstractNumId w:val="1"/>
  </w:num>
  <w:num w:numId="3">
    <w:abstractNumId w:val="0"/>
  </w:num>
  <w:num w:numId="4">
    <w:abstractNumId w:val="4"/>
  </w:num>
  <w:num w:numId="5">
    <w:abstractNumId w:val="3"/>
  </w:num>
  <w:num w:numId="6">
    <w:abstractNumId w:val="6"/>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65"/>
    <w:rsid w:val="00067C74"/>
    <w:rsid w:val="00067D9C"/>
    <w:rsid w:val="00067E35"/>
    <w:rsid w:val="00067E94"/>
    <w:rsid w:val="00067FBE"/>
    <w:rsid w:val="00070450"/>
    <w:rsid w:val="000710A9"/>
    <w:rsid w:val="0007110B"/>
    <w:rsid w:val="00071939"/>
    <w:rsid w:val="00071A17"/>
    <w:rsid w:val="00071BA5"/>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81"/>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2E8"/>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650"/>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3E1E"/>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DDA"/>
    <w:rsid w:val="002E5DE9"/>
    <w:rsid w:val="002E5EE5"/>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037"/>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313"/>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52D"/>
    <w:rsid w:val="004159DC"/>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3BA8"/>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854"/>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7D3"/>
    <w:rsid w:val="00570F7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10"/>
    <w:rsid w:val="005B66AB"/>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6DD"/>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368"/>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26D"/>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163"/>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53E2"/>
    <w:rsid w:val="006C65E2"/>
    <w:rsid w:val="006C6885"/>
    <w:rsid w:val="006C703C"/>
    <w:rsid w:val="006C7570"/>
    <w:rsid w:val="006C7E97"/>
    <w:rsid w:val="006C7F83"/>
    <w:rsid w:val="006D04CF"/>
    <w:rsid w:val="006D0870"/>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92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660"/>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939"/>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3B7"/>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98"/>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B06"/>
    <w:rsid w:val="00891D6B"/>
    <w:rsid w:val="00892C3E"/>
    <w:rsid w:val="00892DF0"/>
    <w:rsid w:val="00892F75"/>
    <w:rsid w:val="008930C5"/>
    <w:rsid w:val="0089355D"/>
    <w:rsid w:val="00893A3B"/>
    <w:rsid w:val="00893E9F"/>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0C8"/>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52A"/>
    <w:rsid w:val="0097352E"/>
    <w:rsid w:val="00973D15"/>
    <w:rsid w:val="00973F5D"/>
    <w:rsid w:val="00974857"/>
    <w:rsid w:val="00974CFB"/>
    <w:rsid w:val="00974F5D"/>
    <w:rsid w:val="0097502C"/>
    <w:rsid w:val="009753DE"/>
    <w:rsid w:val="00976E1A"/>
    <w:rsid w:val="0097743A"/>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B01"/>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5DA4"/>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0E8C"/>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11D2"/>
    <w:rsid w:val="00AA14F5"/>
    <w:rsid w:val="00AA1544"/>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9FA"/>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429"/>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3F6"/>
    <w:rsid w:val="00BB5C88"/>
    <w:rsid w:val="00BB5C8F"/>
    <w:rsid w:val="00BB60FC"/>
    <w:rsid w:val="00BB611B"/>
    <w:rsid w:val="00BB693A"/>
    <w:rsid w:val="00BB6981"/>
    <w:rsid w:val="00BB6D16"/>
    <w:rsid w:val="00BB6E82"/>
    <w:rsid w:val="00BB7070"/>
    <w:rsid w:val="00BB7075"/>
    <w:rsid w:val="00BB72A8"/>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7C"/>
    <w:rsid w:val="00C72C80"/>
    <w:rsid w:val="00C72CA7"/>
    <w:rsid w:val="00C7301F"/>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5F14"/>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4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3C82"/>
    <w:rsid w:val="00E94927"/>
    <w:rsid w:val="00E949FD"/>
    <w:rsid w:val="00E95477"/>
    <w:rsid w:val="00E95492"/>
    <w:rsid w:val="00E95F1A"/>
    <w:rsid w:val="00E962F8"/>
    <w:rsid w:val="00E963B1"/>
    <w:rsid w:val="00E96D54"/>
    <w:rsid w:val="00E96DAC"/>
    <w:rsid w:val="00E9702D"/>
    <w:rsid w:val="00E97321"/>
    <w:rsid w:val="00E979AA"/>
    <w:rsid w:val="00E97D85"/>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A29"/>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3CFB"/>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51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66C3ADA"/>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563A6A"/>
  <w15:chartTrackingRefBased/>
  <w15:docId w15:val="{47C1E223-4AEB-495E-BA67-42C8537A4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NOChar">
    <w:name w:val="NO Char"/>
    <w:link w:val="NO"/>
    <w:qFormat/>
    <w:rPr>
      <w:rFonts w:eastAsia="Times New Roman"/>
      <w:lang w:val="en-GB" w:eastAsia="ja-JP"/>
    </w:rPr>
  </w:style>
  <w:style w:type="character" w:customStyle="1" w:styleId="a4">
    <w:name w:val="页眉 字符"/>
    <w:link w:val="a5"/>
    <w:uiPriority w:val="99"/>
    <w:rPr>
      <w:rFonts w:ascii="Arial" w:eastAsia="MS Mincho" w:hAnsi="Arial"/>
      <w:b/>
      <w:szCs w:val="24"/>
      <w:lang w:val="en-US" w:eastAsia="en-US" w:bidi="ar-SA"/>
    </w:rPr>
  </w:style>
  <w:style w:type="character" w:styleId="a6">
    <w:name w:val="FollowedHyperlink"/>
    <w:rPr>
      <w:color w:val="954F72"/>
      <w:u w:val="single"/>
    </w:rPr>
  </w:style>
  <w:style w:type="character" w:customStyle="1" w:styleId="B2Char">
    <w:name w:val="B2 Char"/>
    <w:link w:val="B2"/>
    <w:qFormat/>
    <w:rPr>
      <w:rFonts w:eastAsia="Times New Roman"/>
      <w:lang w:val="en-GB" w:eastAsia="en-GB"/>
    </w:rPr>
  </w:style>
  <w:style w:type="character" w:styleId="a7">
    <w:name w:val="Hyperlink"/>
    <w:uiPriority w:val="99"/>
    <w:rPr>
      <w:color w:val="0000FF"/>
      <w:u w:val="single"/>
    </w:rPr>
  </w:style>
  <w:style w:type="character" w:customStyle="1" w:styleId="B1Char">
    <w:name w:val="B1 Char"/>
    <w:qFormat/>
    <w:rPr>
      <w:rFonts w:eastAsia="Times New Roman"/>
      <w:lang w:val="en-GB" w:eastAsia="ja-JP"/>
    </w:rPr>
  </w:style>
  <w:style w:type="character" w:customStyle="1" w:styleId="22">
    <w:name w:val="列表段落 字符2"/>
    <w:link w:val="a8"/>
    <w:uiPriority w:val="34"/>
    <w:qFormat/>
    <w:locked/>
    <w:rPr>
      <w:rFonts w:ascii="Calibri" w:hAnsi="Calibri"/>
      <w:kern w:val="2"/>
      <w:sz w:val="21"/>
      <w:szCs w:val="22"/>
    </w:rPr>
  </w:style>
  <w:style w:type="character" w:customStyle="1" w:styleId="TFChar">
    <w:name w:val="TF Char"/>
    <w:link w:val="TF"/>
    <w:uiPriority w:val="99"/>
    <w:qFormat/>
    <w:rPr>
      <w:rFonts w:ascii="Arial" w:eastAsia="Times New Roman" w:hAnsi="Arial"/>
      <w:b/>
      <w:lang w:val="en-GB" w:eastAsia="en-US"/>
    </w:rPr>
  </w:style>
  <w:style w:type="character" w:styleId="a9">
    <w:name w:val="annotation reference"/>
    <w:uiPriority w:val="99"/>
    <w:qFormat/>
    <w:rPr>
      <w:sz w:val="21"/>
      <w:szCs w:val="21"/>
    </w:rPr>
  </w:style>
  <w:style w:type="character" w:customStyle="1" w:styleId="Doc-titleChar">
    <w:name w:val="Doc-title Char"/>
    <w:link w:val="Doc-title"/>
    <w:qFormat/>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a">
    <w:name w:val="批注文字 字符"/>
    <w:uiPriority w:val="99"/>
    <w:semiHidden/>
    <w:rPr>
      <w:kern w:val="2"/>
      <w:sz w:val="21"/>
      <w:szCs w:val="24"/>
    </w:rPr>
  </w:style>
  <w:style w:type="character" w:customStyle="1" w:styleId="10">
    <w:name w:val="页眉 字符1"/>
    <w:rPr>
      <w:lang w:val="en-GB"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b"/>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c">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21">
    <w:name w:val="标题 2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d">
    <w:name w:val="题注 字符"/>
    <w:link w:val="ae"/>
    <w:rPr>
      <w:lang w:val="en-GB" w:eastAsia="en-US" w:bidi="ar-SA"/>
    </w:rPr>
  </w:style>
  <w:style w:type="character" w:customStyle="1" w:styleId="af">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12">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NOZchn">
    <w:name w:val="NO Zchn"/>
    <w:rPr>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Times New Roman"/>
    </w:rPr>
  </w:style>
  <w:style w:type="paragraph" w:styleId="af0">
    <w:name w:val="Normal Indent"/>
    <w:basedOn w:val="a"/>
    <w:uiPriority w:val="99"/>
    <w:unhideWhenUsed/>
    <w:pPr>
      <w:widowControl w:val="0"/>
      <w:ind w:left="720"/>
      <w:jc w:val="both"/>
    </w:pPr>
    <w:rPr>
      <w:rFonts w:eastAsia="宋体"/>
      <w:kern w:val="2"/>
      <w:sz w:val="21"/>
      <w:lang w:eastAsia="zh-CN"/>
    </w:r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f2">
    <w:name w:val="Balloon Text"/>
    <w:basedOn w:val="a"/>
    <w:semiHidden/>
    <w:rPr>
      <w:sz w:val="18"/>
      <w:szCs w:val="18"/>
    </w:rPr>
  </w:style>
  <w:style w:type="paragraph" w:styleId="af3">
    <w:name w:val="footer"/>
    <w:basedOn w:val="a"/>
    <w:pPr>
      <w:tabs>
        <w:tab w:val="center" w:pos="4153"/>
        <w:tab w:val="right" w:pos="8306"/>
      </w:tabs>
      <w:snapToGrid w:val="0"/>
    </w:pPr>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0">
    <w:name w:val="Body Text"/>
    <w:basedOn w:val="a"/>
    <w:link w:val="ac"/>
    <w:pPr>
      <w:spacing w:after="120"/>
      <w:jc w:val="both"/>
    </w:pPr>
    <w:rPr>
      <w:rFonts w:eastAsia="MS Mincho"/>
    </w:rPr>
  </w:style>
  <w:style w:type="paragraph" w:styleId="af4">
    <w:name w:val="annotation subject"/>
    <w:basedOn w:val="ab"/>
    <w:next w:val="ab"/>
    <w:semiHidden/>
    <w:rPr>
      <w:b/>
      <w:bCs/>
    </w:rPr>
  </w:style>
  <w:style w:type="paragraph" w:styleId="a5">
    <w:name w:val="header"/>
    <w:basedOn w:val="a"/>
    <w:link w:val="a4"/>
    <w:pPr>
      <w:tabs>
        <w:tab w:val="center" w:pos="4536"/>
        <w:tab w:val="right" w:pos="9072"/>
      </w:tabs>
    </w:pPr>
    <w:rPr>
      <w:rFonts w:ascii="Arial" w:eastAsia="MS Mincho" w:hAnsi="Arial"/>
      <w:b/>
    </w:rPr>
  </w:style>
  <w:style w:type="paragraph" w:styleId="31">
    <w:name w:val="List 3"/>
    <w:basedOn w:val="a"/>
    <w:unhideWhenUsed/>
    <w:pPr>
      <w:ind w:leftChars="400" w:left="100" w:hangingChars="200" w:hanging="200"/>
      <w:contextualSpacing/>
    </w:pPr>
  </w:style>
  <w:style w:type="paragraph" w:styleId="2">
    <w:name w:val="List 2"/>
    <w:basedOn w:val="af5"/>
    <w:pPr>
      <w:numPr>
        <w:numId w:val="1"/>
      </w:numPr>
      <w:tabs>
        <w:tab w:val="left" w:pos="2041"/>
      </w:tabs>
      <w:spacing w:before="180"/>
    </w:pPr>
    <w:rPr>
      <w:rFonts w:ascii="Arial" w:hAnsi="Arial"/>
      <w:sz w:val="22"/>
      <w:szCs w:val="20"/>
    </w:rPr>
  </w:style>
  <w:style w:type="paragraph" w:styleId="ab">
    <w:name w:val="annotation text"/>
    <w:basedOn w:val="a"/>
    <w:link w:val="11"/>
    <w:uiPriority w:val="99"/>
    <w:qFormat/>
  </w:style>
  <w:style w:type="paragraph" w:styleId="af5">
    <w:name w:val="List"/>
    <w:basedOn w:val="a"/>
    <w:pPr>
      <w:ind w:left="283" w:hanging="283"/>
    </w:pPr>
  </w:style>
  <w:style w:type="paragraph" w:styleId="af6">
    <w:name w:val="Document Map"/>
    <w:basedOn w:val="a"/>
    <w:semiHidden/>
    <w:pPr>
      <w:shd w:val="clear" w:color="auto" w:fill="000080"/>
    </w:pPr>
  </w:style>
  <w:style w:type="paragraph" w:styleId="ae">
    <w:name w:val="caption"/>
    <w:basedOn w:val="a"/>
    <w:next w:val="a"/>
    <w:link w:val="ad"/>
    <w:qFormat/>
    <w:pPr>
      <w:overflowPunct w:val="0"/>
      <w:autoSpaceDE w:val="0"/>
      <w:autoSpaceDN w:val="0"/>
      <w:adjustRightInd w:val="0"/>
      <w:spacing w:before="120" w:after="120"/>
      <w:textAlignment w:val="baseline"/>
    </w:pPr>
    <w:rPr>
      <w:szCs w:val="20"/>
      <w:lang w:val="en-GB"/>
    </w:rPr>
  </w:style>
  <w:style w:type="paragraph" w:styleId="TOC1">
    <w:name w:val="toc 1"/>
    <w:basedOn w:val="a"/>
    <w:next w:val="a"/>
  </w:style>
  <w:style w:type="paragraph" w:customStyle="1" w:styleId="CharChar1CharChar">
    <w:name w:val="Char Char1 Char Char"/>
    <w:basedOn w:val="a"/>
    <w:rPr>
      <w:rFonts w:ascii="Times" w:hAnsi="Times"/>
      <w:sz w:val="22"/>
      <w:szCs w:val="20"/>
    </w:rPr>
  </w:style>
  <w:style w:type="paragraph" w:customStyle="1" w:styleId="CharCharCharCharCharCharCharCharCharCharCharCharChar">
    <w:name w:val="Char Char Char 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F">
    <w:name w:val="TF"/>
    <w:basedOn w:val="TH"/>
    <w:link w:val="TFChar"/>
    <w:uiPriority w:val="99"/>
    <w:qFormat/>
    <w:pPr>
      <w:keepNext w:val="0"/>
      <w:spacing w:before="0" w:after="240"/>
    </w:p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8">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EditorsNote">
    <w:name w:val="Editor's Note"/>
    <w:basedOn w:val="NO"/>
    <w:link w:val="EditorsNoteChar"/>
    <w:qFormat/>
    <w:rPr>
      <w:color w:val="FF0000"/>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RCoverPage">
    <w:name w:val="CR Cover Page"/>
    <w:pPr>
      <w:spacing w:after="120"/>
    </w:pPr>
    <w:rPr>
      <w:rFonts w:ascii="Arial" w:hAnsi="Arial"/>
      <w:lang w:val="en-GB" w:eastAsia="en-US"/>
    </w:rPr>
  </w:style>
  <w:style w:type="paragraph" w:styleId="af7">
    <w:name w:val="Revision"/>
    <w:uiPriority w:val="99"/>
    <w:semiHidden/>
    <w:rPr>
      <w:rFonts w:eastAsia="Times New Roman"/>
      <w:szCs w:val="24"/>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a"/>
    <w:link w:val="TALChar"/>
    <w:pPr>
      <w:keepNext/>
      <w:keepLines/>
    </w:pPr>
    <w:rPr>
      <w:rFonts w:ascii="Arial" w:hAnsi="Arial"/>
      <w:sz w:val="18"/>
      <w:szCs w:val="20"/>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CharCharCharCharCharCharCharCharCharCharCharCharCharCharCharChar">
    <w:name w:val="Char Char Char Char Char Char 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FP">
    <w:name w:val="FP"/>
    <w:basedOn w:val="a"/>
    <w:rPr>
      <w:rFonts w:eastAsia="Malgun Gothic"/>
      <w:szCs w:val="20"/>
      <w:lang w:val="en-GB"/>
    </w:rPr>
  </w:style>
  <w:style w:type="paragraph" w:customStyle="1" w:styleId="TAN">
    <w:name w:val="TAN"/>
    <w:basedOn w:val="TAL"/>
    <w:pPr>
      <w:ind w:left="851" w:hanging="851"/>
    </w:pPr>
    <w:rPr>
      <w:rFonts w:eastAsia="Malgun Gothic"/>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24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1775</Words>
  <Characters>10121</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vivo(Qian)</cp:lastModifiedBy>
  <cp:revision>5</cp:revision>
  <cp:lastPrinted>2011-08-03T09:36:00Z</cp:lastPrinted>
  <dcterms:created xsi:type="dcterms:W3CDTF">2021-04-02T05:45:00Z</dcterms:created>
  <dcterms:modified xsi:type="dcterms:W3CDTF">2021-04-02T05:53:00Z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